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39B4" w14:textId="5A748505" w:rsidR="00F405D7" w:rsidRPr="00F405D7" w:rsidRDefault="00F405D7" w:rsidP="00F405D7">
      <w:pPr>
        <w:shd w:val="clear" w:color="auto" w:fill="FFFFFF"/>
        <w:rPr>
          <w:rFonts w:eastAsia="Times New Roman"/>
          <w:b/>
          <w:bCs/>
          <w:sz w:val="22"/>
          <w:szCs w:val="22"/>
          <w:lang w:val="uz-Cyrl-UZ"/>
        </w:rPr>
      </w:pPr>
      <w:r w:rsidRPr="00F405D7">
        <w:rPr>
          <w:rFonts w:eastAsia="Times New Roman"/>
          <w:b/>
          <w:bCs/>
          <w:sz w:val="22"/>
          <w:szCs w:val="22"/>
          <w:lang w:val="uz-Cyrl-UZ"/>
        </w:rPr>
        <w:t>3-6-</w:t>
      </w:r>
      <w:r w:rsidR="00FC38EC">
        <w:rPr>
          <w:rFonts w:eastAsia="Times New Roman"/>
          <w:b/>
          <w:bCs/>
          <w:sz w:val="22"/>
          <w:szCs w:val="22"/>
          <w:lang w:val="uz-Cyrl-UZ"/>
        </w:rPr>
        <w:t>ILOVA</w:t>
      </w:r>
      <w:r w:rsidRPr="00F405D7">
        <w:rPr>
          <w:rFonts w:eastAsia="Times New Roman"/>
          <w:b/>
          <w:bCs/>
          <w:sz w:val="22"/>
          <w:szCs w:val="22"/>
          <w:lang w:val="uz-Cyrl-UZ"/>
        </w:rPr>
        <w:t xml:space="preserve"> </w:t>
      </w:r>
    </w:p>
    <w:tbl>
      <w:tblPr>
        <w:tblW w:w="562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5245"/>
        <w:gridCol w:w="567"/>
        <w:gridCol w:w="489"/>
        <w:gridCol w:w="928"/>
        <w:gridCol w:w="567"/>
        <w:gridCol w:w="567"/>
        <w:gridCol w:w="567"/>
        <w:gridCol w:w="733"/>
      </w:tblGrid>
      <w:tr w:rsidR="00F405D7" w:rsidRPr="00F405D7" w14:paraId="4F6F9247" w14:textId="77777777" w:rsidTr="00B8704B">
        <w:trPr>
          <w:jc w:val="center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B7C6F80" w14:textId="77777777" w:rsidR="00F405D7" w:rsidRPr="00F405D7" w:rsidRDefault="00F405D7" w:rsidP="009823EE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1.</w:t>
            </w:r>
          </w:p>
        </w:tc>
        <w:tc>
          <w:tcPr>
            <w:tcW w:w="100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CE7BC9" w14:textId="3D830ACF" w:rsidR="00F405D7" w:rsidRPr="00F405D7" w:rsidRDefault="00FC38EC" w:rsidP="009823EE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EMITENTNING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NOMI</w:t>
            </w:r>
          </w:p>
        </w:tc>
      </w:tr>
      <w:tr w:rsidR="0065165A" w:rsidRPr="00F405D7" w14:paraId="7B939308" w14:textId="77777777" w:rsidTr="00B8704B">
        <w:trPr>
          <w:jc w:val="center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B99D8" w14:textId="77777777" w:rsidR="00F405D7" w:rsidRPr="00F405D7" w:rsidRDefault="00F405D7" w:rsidP="009823EE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59A41A" w14:textId="01FC5AF9" w:rsidR="00F405D7" w:rsidRPr="00F405D7" w:rsidRDefault="00FC38EC" w:rsidP="009823EE">
            <w:pPr>
              <w:ind w:firstLine="44"/>
              <w:rPr>
                <w:lang w:val="uz-Cyrl-UZ"/>
              </w:rPr>
            </w:pPr>
            <w:r>
              <w:rPr>
                <w:lang w:val="uz-Cyrl-UZ"/>
              </w:rPr>
              <w:t>Tо‘liq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2F92881" w14:textId="3D1BBADE" w:rsidR="00F405D7" w:rsidRPr="00F405D7" w:rsidRDefault="00F405D7" w:rsidP="009823EE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“</w:t>
            </w:r>
            <w:r w:rsidRPr="009554AE">
              <w:rPr>
                <w:lang w:val="en-US"/>
              </w:rPr>
              <w:t>Smart bank</w:t>
            </w:r>
            <w:r w:rsidRPr="009554AE">
              <w:rPr>
                <w:lang w:val="uz-Cyrl-UZ"/>
              </w:rPr>
              <w:t xml:space="preserve">” </w:t>
            </w:r>
            <w:r w:rsidR="00FC38EC">
              <w:rPr>
                <w:lang w:val="uz-Cyrl-UZ"/>
              </w:rPr>
              <w:t>aksiyadorlik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jamiyati</w:t>
            </w:r>
          </w:p>
        </w:tc>
      </w:tr>
      <w:tr w:rsidR="0065165A" w:rsidRPr="00F405D7" w14:paraId="0C6B43CB" w14:textId="77777777" w:rsidTr="00B8704B">
        <w:trPr>
          <w:jc w:val="center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CA69F" w14:textId="77777777" w:rsidR="00F405D7" w:rsidRPr="00F405D7" w:rsidRDefault="00F405D7" w:rsidP="009823EE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110066" w14:textId="4FF0DA07" w:rsidR="00F405D7" w:rsidRPr="00F405D7" w:rsidRDefault="00FC38EC" w:rsidP="009823EE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Qisqartirilgan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490C58" w14:textId="163AC4ED" w:rsidR="00F405D7" w:rsidRPr="00F405D7" w:rsidRDefault="00F405D7" w:rsidP="009823EE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“</w:t>
            </w:r>
            <w:r w:rsidRPr="009554AE">
              <w:rPr>
                <w:lang w:val="en-US"/>
              </w:rPr>
              <w:t>Smart bank</w:t>
            </w:r>
            <w:r w:rsidRPr="009554AE">
              <w:rPr>
                <w:lang w:val="uz-Cyrl-UZ"/>
              </w:rPr>
              <w:t xml:space="preserve">” </w:t>
            </w:r>
            <w:r w:rsidR="00FC38EC">
              <w:rPr>
                <w:lang w:val="uz-Cyrl-UZ"/>
              </w:rPr>
              <w:t>AJ</w:t>
            </w:r>
          </w:p>
        </w:tc>
      </w:tr>
      <w:tr w:rsidR="0065165A" w:rsidRPr="00F405D7" w14:paraId="421AC42C" w14:textId="77777777" w:rsidTr="00B8704B">
        <w:trPr>
          <w:jc w:val="center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48297" w14:textId="77777777" w:rsidR="00F405D7" w:rsidRPr="00F405D7" w:rsidRDefault="00F405D7" w:rsidP="009823EE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E2850A" w14:textId="4270A7B3" w:rsidR="00F405D7" w:rsidRPr="00F405D7" w:rsidRDefault="00FC38EC" w:rsidP="009823EE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Birja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tikerining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nomi</w:t>
            </w:r>
            <w:r w:rsidR="00F405D7" w:rsidRPr="00F405D7">
              <w:rPr>
                <w:lang w:val="uz-Cyrl-UZ"/>
              </w:rPr>
              <w:t>:</w:t>
            </w:r>
            <w:hyperlink r:id="rId4" w:history="1">
              <w:r w:rsidR="00F405D7" w:rsidRPr="00F405D7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016B496" w14:textId="26FB8E82" w:rsidR="00F405D7" w:rsidRPr="00F405D7" w:rsidRDefault="00F405D7" w:rsidP="009823EE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F405D7" w:rsidRPr="00F405D7" w14:paraId="73DDBD4B" w14:textId="77777777" w:rsidTr="00B8704B"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7E4921F" w14:textId="77777777" w:rsidR="00F405D7" w:rsidRPr="00F405D7" w:rsidRDefault="00F405D7" w:rsidP="009823EE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2.</w:t>
            </w: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C66356" w14:textId="39CC5F9C" w:rsidR="00F405D7" w:rsidRPr="00F405D7" w:rsidRDefault="00FC38EC" w:rsidP="009823EE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ALOQA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MA’LUMOTLARI</w:t>
            </w:r>
          </w:p>
        </w:tc>
      </w:tr>
      <w:tr w:rsidR="003B7F41" w:rsidRPr="003B7F41" w14:paraId="0E76AB1F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3EB65" w14:textId="77777777" w:rsidR="003B7F41" w:rsidRPr="00F405D7" w:rsidRDefault="003B7F41" w:rsidP="003B7F41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5A52FD" w14:textId="4011FCAE" w:rsidR="003B7F41" w:rsidRPr="00F405D7" w:rsidRDefault="003B7F41" w:rsidP="003B7F41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Joylashgan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yeri</w:t>
            </w:r>
            <w:r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D2E90D2" w14:textId="627FBD61" w:rsidR="003B7F41" w:rsidRPr="00F405D7" w:rsidRDefault="003B7F41" w:rsidP="003B7F41">
            <w:pPr>
              <w:ind w:left="-39"/>
              <w:rPr>
                <w:lang w:val="uz-Cyrl-UZ"/>
              </w:rPr>
            </w:pPr>
            <w:r w:rsidRPr="009554AE">
              <w:rPr>
                <w:lang w:val="uz-Cyrl-UZ"/>
              </w:rPr>
              <w:t xml:space="preserve">100011, </w:t>
            </w:r>
            <w:r>
              <w:rPr>
                <w:lang w:val="uz-Cyrl-UZ"/>
              </w:rPr>
              <w:t>Toshkent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shahri</w:t>
            </w:r>
            <w:r w:rsidRPr="009554A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Shayxontohur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tumani</w:t>
            </w:r>
            <w:r w:rsidRPr="009554A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Botir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Zokirov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kо‘chasi</w:t>
            </w:r>
            <w:r w:rsidRPr="009554AE">
              <w:rPr>
                <w:lang w:val="uz-Cyrl-UZ"/>
              </w:rPr>
              <w:t>, 2</w:t>
            </w:r>
            <w:r>
              <w:rPr>
                <w:lang w:val="uz-Cyrl-UZ"/>
              </w:rPr>
              <w:t>A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uy</w:t>
            </w:r>
          </w:p>
        </w:tc>
      </w:tr>
      <w:tr w:rsidR="0065165A" w:rsidRPr="003B7F41" w14:paraId="3271C6CA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F8E23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4CD8AB" w14:textId="6C067BD2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Pochta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manzili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620C6A8" w14:textId="48123B90" w:rsidR="00F405D7" w:rsidRPr="00F405D7" w:rsidRDefault="00F405D7" w:rsidP="00F405D7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 xml:space="preserve">100011, </w:t>
            </w:r>
            <w:r w:rsidR="00FC38EC">
              <w:rPr>
                <w:lang w:val="uz-Cyrl-UZ"/>
              </w:rPr>
              <w:t>Toshkent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shahri</w:t>
            </w:r>
            <w:r w:rsidRPr="009554AE">
              <w:rPr>
                <w:lang w:val="uz-Cyrl-UZ"/>
              </w:rPr>
              <w:t xml:space="preserve">, </w:t>
            </w:r>
            <w:r w:rsidR="00FC38EC">
              <w:rPr>
                <w:lang w:val="uz-Cyrl-UZ"/>
              </w:rPr>
              <w:t>Shayxontohur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tumani</w:t>
            </w:r>
            <w:r w:rsidRPr="009554AE">
              <w:rPr>
                <w:lang w:val="uz-Cyrl-UZ"/>
              </w:rPr>
              <w:t xml:space="preserve">, </w:t>
            </w:r>
            <w:r w:rsidR="00FC38EC">
              <w:rPr>
                <w:lang w:val="uz-Cyrl-UZ"/>
              </w:rPr>
              <w:t>Botir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Zokirov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kо‘chasi</w:t>
            </w:r>
            <w:r w:rsidRPr="009554AE">
              <w:rPr>
                <w:lang w:val="uz-Cyrl-UZ"/>
              </w:rPr>
              <w:t>, 2</w:t>
            </w:r>
            <w:r w:rsidR="00FC38EC">
              <w:rPr>
                <w:lang w:val="uz-Cyrl-UZ"/>
              </w:rPr>
              <w:t>A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uy</w:t>
            </w:r>
          </w:p>
        </w:tc>
      </w:tr>
      <w:tr w:rsidR="0065165A" w:rsidRPr="00EF2E3C" w14:paraId="2FDD8DD3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41038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4F1035" w14:textId="25FEAA28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Elektron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pochta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manzili</w:t>
            </w:r>
            <w:r w:rsidR="00F405D7" w:rsidRPr="00F405D7">
              <w:rPr>
                <w:lang w:val="uz-Cyrl-UZ"/>
              </w:rPr>
              <w:t>:</w:t>
            </w:r>
            <w:hyperlink r:id="rId5" w:history="1">
              <w:r w:rsidR="00F405D7" w:rsidRPr="00F405D7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52D8F41" w14:textId="521CC4B6" w:rsidR="00F405D7" w:rsidRPr="00F405D7" w:rsidRDefault="00F405D7" w:rsidP="00F405D7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office@smartbank.uz (mailto:office@smartbank.uz)</w:t>
            </w:r>
          </w:p>
        </w:tc>
      </w:tr>
      <w:tr w:rsidR="0065165A" w:rsidRPr="00EF2E3C" w14:paraId="69ACDF14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6AFFE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EA8308" w14:textId="6E2DCF88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Rasmiy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veb</w:t>
            </w:r>
            <w:r w:rsidR="00F405D7" w:rsidRPr="00F405D7">
              <w:rPr>
                <w:lang w:val="uz-Cyrl-UZ"/>
              </w:rPr>
              <w:t>-</w:t>
            </w:r>
            <w:r>
              <w:rPr>
                <w:lang w:val="uz-Cyrl-UZ"/>
              </w:rPr>
              <w:t>sayti</w:t>
            </w:r>
            <w:r w:rsidR="00F405D7" w:rsidRPr="00F405D7">
              <w:rPr>
                <w:lang w:val="uz-Cyrl-UZ"/>
              </w:rPr>
              <w:t>:</w:t>
            </w:r>
            <w:hyperlink r:id="rId6" w:history="1">
              <w:r w:rsidR="00F405D7" w:rsidRPr="00F405D7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BB1A8FD" w14:textId="0853DF54" w:rsidR="00F405D7" w:rsidRPr="00F405D7" w:rsidRDefault="00F405D7" w:rsidP="00F405D7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www.smartbank.uz (http://www.smartbank.uz)</w:t>
            </w:r>
          </w:p>
        </w:tc>
      </w:tr>
      <w:tr w:rsidR="00F405D7" w:rsidRPr="00EF2E3C" w14:paraId="162A748F" w14:textId="77777777" w:rsidTr="00B8704B"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00A33A" w14:textId="77777777" w:rsidR="00914AF7" w:rsidRDefault="00914AF7" w:rsidP="00F405D7">
            <w:pPr>
              <w:jc w:val="center"/>
              <w:rPr>
                <w:lang w:val="uz-Cyrl-UZ"/>
              </w:rPr>
            </w:pPr>
          </w:p>
          <w:p w14:paraId="27F6F522" w14:textId="304952F7" w:rsidR="00F405D7" w:rsidRPr="00F405D7" w:rsidRDefault="00F405D7" w:rsidP="00F405D7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3.</w:t>
            </w: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26DE49" w14:textId="31AC55F0" w:rsidR="00F405D7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MUHIM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FAKT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TО‘G‘RISIDA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AXBOROT</w:t>
            </w:r>
          </w:p>
        </w:tc>
      </w:tr>
      <w:tr w:rsidR="0065165A" w:rsidRPr="00F405D7" w14:paraId="18E10A58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643D9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25DAFC" w14:textId="5C9B395B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Muhim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faktning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raqami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14ED8D4" w14:textId="77777777" w:rsidR="00F405D7" w:rsidRPr="00F405D7" w:rsidRDefault="00F405D7" w:rsidP="00F405D7">
            <w:pPr>
              <w:rPr>
                <w:lang w:val="uz-Cyrl-UZ"/>
              </w:rPr>
            </w:pPr>
            <w:r w:rsidRPr="00F405D7">
              <w:rPr>
                <w:lang w:val="uz-Cyrl-UZ"/>
              </w:rPr>
              <w:t>06</w:t>
            </w:r>
          </w:p>
        </w:tc>
      </w:tr>
      <w:tr w:rsidR="0065165A" w:rsidRPr="00EF2E3C" w14:paraId="7E3D95F1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696D5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E51A14" w14:textId="3CD120B0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Muhim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faktning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nomi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0267405" w14:textId="7F45D851" w:rsidR="00F405D7" w:rsidRPr="00F405D7" w:rsidRDefault="00FC38EC" w:rsidP="00F405D7">
            <w:pPr>
              <w:rPr>
                <w:lang w:val="uz-Cyrl-UZ"/>
              </w:rPr>
            </w:pPr>
            <w:r>
              <w:rPr>
                <w:lang w:val="uz-Cyrl-UZ"/>
              </w:rPr>
              <w:t>Emitentning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yuqori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boshqaruv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organi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tomonidan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qabul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qilingan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qarorlar</w:t>
            </w:r>
          </w:p>
        </w:tc>
      </w:tr>
      <w:tr w:rsidR="00145189" w:rsidRPr="00F405D7" w14:paraId="180CDB4A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2C40" w14:textId="77777777" w:rsidR="00145189" w:rsidRPr="00F405D7" w:rsidRDefault="00145189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E443BC" w14:textId="65E40590" w:rsidR="00145189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145189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145189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turi</w:t>
            </w:r>
            <w:r w:rsidR="00145189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07246A" w14:textId="5A34DFE1" w:rsidR="00145189" w:rsidRPr="00145189" w:rsidRDefault="00FC38EC" w:rsidP="00F405D7">
            <w:pPr>
              <w:rPr>
                <w:lang w:val="uz-Cyrl-UZ"/>
              </w:rPr>
            </w:pPr>
            <w:r>
              <w:rPr>
                <w:lang w:val="uz-Cyrl-UZ"/>
              </w:rPr>
              <w:t>Navbatdan</w:t>
            </w:r>
            <w:r w:rsidR="001451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tashqari</w:t>
            </w:r>
          </w:p>
        </w:tc>
      </w:tr>
      <w:tr w:rsidR="0065165A" w:rsidRPr="00F405D7" w14:paraId="78D0F2E0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A5BBE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6E477D" w14:textId="2684A2A0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о‘tkazish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sanasi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3B95A7C" w14:textId="01556331" w:rsidR="00F405D7" w:rsidRPr="006F1CB5" w:rsidRDefault="00BC35FC" w:rsidP="00F405D7">
            <w:pPr>
              <w:rPr>
                <w:lang w:val="en-US"/>
              </w:rPr>
            </w:pPr>
            <w:r>
              <w:rPr>
                <w:lang w:val="uz-Cyrl-UZ"/>
              </w:rPr>
              <w:t>25</w:t>
            </w:r>
            <w:r w:rsidR="00145189">
              <w:rPr>
                <w:lang w:val="uz-Cyrl-UZ"/>
              </w:rPr>
              <w:t>.</w:t>
            </w:r>
            <w:r>
              <w:rPr>
                <w:lang w:val="uz-Cyrl-UZ"/>
              </w:rPr>
              <w:t>04</w:t>
            </w:r>
            <w:r w:rsidR="00145189">
              <w:rPr>
                <w:lang w:val="uz-Cyrl-UZ"/>
              </w:rPr>
              <w:t>.202</w:t>
            </w:r>
            <w:r w:rsidR="003B7F41">
              <w:rPr>
                <w:lang w:val="en-US"/>
              </w:rPr>
              <w:t>5</w:t>
            </w:r>
            <w:r w:rsidR="00145189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yil</w:t>
            </w:r>
          </w:p>
        </w:tc>
      </w:tr>
      <w:tr w:rsidR="0065165A" w:rsidRPr="00F405D7" w14:paraId="57670776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2858C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C9FD3D" w14:textId="56F57D3F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bayonnomasi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tuzilgan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sana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A04DB89" w14:textId="59C3BAA9" w:rsidR="00F405D7" w:rsidRPr="00F405D7" w:rsidRDefault="00BC35FC" w:rsidP="00F405D7">
            <w:pPr>
              <w:rPr>
                <w:lang w:val="uz-Cyrl-UZ"/>
              </w:rPr>
            </w:pPr>
            <w:r>
              <w:rPr>
                <w:lang w:val="uz-Cyrl-UZ"/>
              </w:rPr>
              <w:t>28</w:t>
            </w:r>
            <w:r w:rsidR="00145189">
              <w:rPr>
                <w:lang w:val="uz-Cyrl-UZ"/>
              </w:rPr>
              <w:t>.</w:t>
            </w:r>
            <w:r>
              <w:rPr>
                <w:lang w:val="uz-Cyrl-UZ"/>
              </w:rPr>
              <w:t>04</w:t>
            </w:r>
            <w:r w:rsidR="00145189">
              <w:rPr>
                <w:lang w:val="uz-Cyrl-UZ"/>
              </w:rPr>
              <w:t>.202</w:t>
            </w:r>
            <w:r w:rsidR="003B7F41">
              <w:rPr>
                <w:lang w:val="en-US"/>
              </w:rPr>
              <w:t>5</w:t>
            </w:r>
            <w:r w:rsidR="00145189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yil</w:t>
            </w:r>
          </w:p>
        </w:tc>
      </w:tr>
      <w:tr w:rsidR="0065165A" w:rsidRPr="003B7F41" w14:paraId="4D4E199A" w14:textId="77777777" w:rsidTr="00B8704B">
        <w:trPr>
          <w:trHeight w:val="565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61AE7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92CC02" w14:textId="35D205FF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о‘tkazilgan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joy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5A95C7F" w14:textId="5C0E3790" w:rsidR="00F405D7" w:rsidRPr="00F405D7" w:rsidRDefault="003B7F41" w:rsidP="00145189">
            <w:pPr>
              <w:rPr>
                <w:lang w:val="uz-Cyrl-UZ"/>
              </w:rPr>
            </w:pPr>
            <w:r>
              <w:rPr>
                <w:lang w:val="uz-Cyrl-UZ"/>
              </w:rPr>
              <w:t>Toshkent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shahri</w:t>
            </w:r>
            <w:r w:rsidRPr="009554A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Shayxontohur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tumani</w:t>
            </w:r>
            <w:r w:rsidRPr="009554AE">
              <w:rPr>
                <w:lang w:val="uz-Cyrl-UZ"/>
              </w:rPr>
              <w:t>,</w:t>
            </w:r>
            <w:r>
              <w:rPr>
                <w:lang w:val="uz-Cyrl-UZ"/>
              </w:rPr>
              <w:br/>
              <w:t>Botir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Zokirov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kо‘chasi</w:t>
            </w:r>
            <w:r w:rsidRPr="009554AE">
              <w:rPr>
                <w:lang w:val="uz-Cyrl-UZ"/>
              </w:rPr>
              <w:t>, 2</w:t>
            </w:r>
            <w:r>
              <w:rPr>
                <w:lang w:val="uz-Cyrl-UZ"/>
              </w:rPr>
              <w:t>A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uy</w:t>
            </w:r>
          </w:p>
        </w:tc>
      </w:tr>
      <w:tr w:rsidR="0065165A" w:rsidRPr="00F405D7" w14:paraId="51B57EDF" w14:textId="77777777" w:rsidTr="00B8704B">
        <w:trPr>
          <w:trHeight w:val="325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8FBE4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243697" w14:textId="1C636E54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kvorumi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4F13C1" w14:textId="43BFA9C5" w:rsidR="00F405D7" w:rsidRPr="00BC35FC" w:rsidRDefault="00BC35FC" w:rsidP="00F405D7">
            <w:pPr>
              <w:rPr>
                <w:lang w:val="uz-Cyrl-UZ"/>
              </w:rPr>
            </w:pPr>
            <w:r>
              <w:rPr>
                <w:lang w:val="uz-Cyrl-UZ"/>
              </w:rPr>
              <w:t>95,07</w:t>
            </w:r>
          </w:p>
        </w:tc>
      </w:tr>
      <w:tr w:rsidR="0065165A" w:rsidRPr="00F405D7" w14:paraId="7A598211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10DDA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0D252A" w14:textId="77777777" w:rsidR="00F405D7" w:rsidRPr="00F405D7" w:rsidRDefault="00F405D7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575BE0" w14:textId="52B0CD5A" w:rsidR="00F405D7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Ovoz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berishga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qо‘yilgan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masalalar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6C933D" w14:textId="448F21B5" w:rsidR="00F405D7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Ovoz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berish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yakunlari</w:t>
            </w:r>
          </w:p>
        </w:tc>
      </w:tr>
      <w:tr w:rsidR="00B8704B" w:rsidRPr="00F405D7" w14:paraId="4DFF2963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FD07E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E5799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38304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89656C6" w14:textId="360E0FFA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yoqlash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2EF9A" w14:textId="68DCDE4A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qarshi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2CFEA" w14:textId="06C7521C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betaraflar</w:t>
            </w:r>
          </w:p>
        </w:tc>
      </w:tr>
      <w:tr w:rsidR="00B8704B" w:rsidRPr="00F405D7" w14:paraId="3F5E2936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38B96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EE46A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D9810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A01A7E" w14:textId="77777777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32A1CD" w14:textId="50C7CEEE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soni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30304" w14:textId="35A76DF8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9ECD06" w14:textId="50920141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soni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F6466" w14:textId="7A1B6FD9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A1E86B" w14:textId="1C41B39B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soni</w:t>
            </w:r>
          </w:p>
        </w:tc>
      </w:tr>
      <w:tr w:rsidR="00B8704B" w:rsidRPr="00145189" w14:paraId="0CA91FE3" w14:textId="77777777" w:rsidTr="00461B4F">
        <w:trPr>
          <w:trHeight w:val="479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FDC61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962DF5" w14:textId="77777777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6DFD1A" w14:textId="32535108" w:rsidR="00B8704B" w:rsidRPr="00914AF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Bankning sanoq komissiyasi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a’zolari soni va shaxsiy tarkibini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tasdiqlash</w:t>
            </w:r>
            <w:r w:rsidR="00461B4F" w:rsidRPr="00BC35FC"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601717" w14:textId="77777777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6F404" w14:textId="51EBA679" w:rsidR="00B8704B" w:rsidRPr="00B15994" w:rsidRDefault="00EF2E3C" w:rsidP="00145189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</w:rPr>
              <w:t>475 333 333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AC11D" w14:textId="3CCF5AB0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14224B" w14:textId="387476B5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B5BCD" w14:textId="5A9DA6C8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39A62F" w14:textId="2E1B0854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B8704B" w:rsidRPr="00F405D7" w14:paraId="0DC6FDE7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8ED87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FD385F" w14:textId="77777777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6876AA" w14:textId="34489047" w:rsidR="00B8704B" w:rsidRPr="00F405D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Aksiyadorlarning navbatdan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tashqari umumiy yig‘ilishi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reglamentini tasdiqlash</w:t>
            </w:r>
            <w:r w:rsidR="00461B4F" w:rsidRPr="00461B4F">
              <w:rPr>
                <w:lang w:val="uz-Cyrl-UZ"/>
              </w:rPr>
              <w:t>.</w:t>
            </w:r>
            <w:r w:rsidR="00461B4F" w:rsidRPr="00461B4F">
              <w:rPr>
                <w:lang w:val="uz-Cyrl-UZ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C30136" w14:textId="77777777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93617" w14:textId="51718F18" w:rsidR="00B8704B" w:rsidRPr="00B15994" w:rsidRDefault="00EF2E3C" w:rsidP="00145189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</w:rPr>
              <w:t xml:space="preserve">475 </w:t>
            </w:r>
            <w:r>
              <w:rPr>
                <w:rFonts w:eastAsia="Times New Roman"/>
              </w:rPr>
              <w:t>333 333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1F389" w14:textId="7CE885FD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0AD16" w14:textId="635D07D2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C7923" w14:textId="6ED02321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117B3" w14:textId="6E3EB256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914AF7" w14:paraId="467AC1D8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2FB28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A2424" w14:textId="504F3C72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96786" w14:textId="4D28011D" w:rsidR="00914AF7" w:rsidRDefault="00BC35FC" w:rsidP="00914AF7">
            <w:pPr>
              <w:jc w:val="center"/>
              <w:rPr>
                <w:lang w:val="uz-Cyrl-UZ"/>
              </w:rPr>
            </w:pPr>
            <w:r w:rsidRPr="00BC35FC">
              <w:rPr>
                <w:lang w:val="uz-Cyrl-UZ"/>
              </w:rPr>
              <w:t>Bankning joylashgan yerini, pochta manzilini о‘zgartirish</w:t>
            </w:r>
            <w:r w:rsidR="00914AF7" w:rsidRPr="00914AF7"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54FA1" w14:textId="6F42CF2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CCA60F" w14:textId="612E6748" w:rsidR="00914AF7" w:rsidRPr="00B15994" w:rsidRDefault="00EF2E3C" w:rsidP="00914AF7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475 333 333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0B6DBB" w14:textId="624CF38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7D886F" w14:textId="3D279521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E7DA93" w14:textId="3290DBF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B9017C" w14:textId="7A538FC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914AF7" w14:paraId="72EF94F0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25E55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9C495" w14:textId="3AD81CEB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782EF" w14:textId="350D7692" w:rsidR="00914AF7" w:rsidRDefault="00BC35FC" w:rsidP="00914AF7">
            <w:pPr>
              <w:jc w:val="center"/>
              <w:rPr>
                <w:lang w:val="uz-Cyrl-UZ"/>
              </w:rPr>
            </w:pPr>
            <w:r w:rsidRPr="00BC35FC">
              <w:rPr>
                <w:lang w:val="uz-Cyrl-UZ"/>
              </w:rPr>
              <w:t>Bank Ustaviga kiritilgan о‘zgartirishni tasdiqlash</w:t>
            </w:r>
            <w:r w:rsidR="00914AF7" w:rsidRPr="00914AF7"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6FFF0" w14:textId="1793F017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A5705B" w14:textId="5F358A22" w:rsidR="00914AF7" w:rsidRPr="00B15994" w:rsidRDefault="00EF2E3C" w:rsidP="00914AF7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475 333 333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D4288E" w14:textId="21B1749D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48CBA" w14:textId="2FD36422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379DCE" w14:textId="5BB52F90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ADA067" w14:textId="50EE7E87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914AF7" w14:paraId="70A5D0EB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E2269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AC9EB" w14:textId="43FD802F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129EA" w14:textId="34FDD06C" w:rsidR="00914AF7" w:rsidRDefault="00BC35FC" w:rsidP="00914AF7">
            <w:pPr>
              <w:jc w:val="center"/>
              <w:rPr>
                <w:lang w:val="uz-Cyrl-UZ"/>
              </w:rPr>
            </w:pPr>
            <w:r w:rsidRPr="00BC35FC">
              <w:rPr>
                <w:lang w:val="uz-Cyrl-UZ"/>
              </w:rPr>
              <w:t>Bankning yangi tashkiliy tuzilmasini tasdiqlash</w:t>
            </w:r>
            <w:r w:rsidR="00914AF7" w:rsidRPr="00914AF7"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1E56E" w14:textId="3A891B63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B6443" w14:textId="59C39E36" w:rsidR="00914AF7" w:rsidRPr="00B15994" w:rsidRDefault="00EF2E3C" w:rsidP="00914AF7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475 333 333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213C4" w14:textId="652826BA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3D0D3C" w14:textId="5062A947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319821" w14:textId="7404DE5C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601F3" w14:textId="79D359E4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F405D7" w14:paraId="5708F187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294AA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E1D08" w14:textId="6E807A0A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C80D8" w14:textId="34574113" w:rsidR="00914AF7" w:rsidRDefault="00BC35FC" w:rsidP="00914AF7">
            <w:pPr>
              <w:jc w:val="center"/>
              <w:rPr>
                <w:lang w:val="uz-Cyrl-UZ"/>
              </w:rPr>
            </w:pPr>
            <w:r w:rsidRPr="00BC35FC">
              <w:rPr>
                <w:lang w:val="uz-Cyrl-UZ"/>
              </w:rPr>
              <w:t>Bankning IT sohasi bo‘yicha hisobotini tasdiqlash</w:t>
            </w:r>
            <w:r w:rsidR="00914AF7" w:rsidRPr="00914AF7"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79623" w14:textId="70E928D5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7BB57" w14:textId="5788E07C" w:rsidR="00914AF7" w:rsidRPr="00B15994" w:rsidRDefault="00EF2E3C" w:rsidP="00914AF7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475 333 333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AF7C3" w14:textId="4373D4F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FB0AF" w14:textId="4DBDF3A0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49EFEE" w14:textId="0B38308C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66CCF" w14:textId="05AB2229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914AF7" w14:paraId="21194C4D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AD28F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C74F0" w14:textId="37FADEF9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F15D8" w14:textId="731C57A3" w:rsidR="00914AF7" w:rsidRDefault="00BC35FC" w:rsidP="00914AF7">
            <w:pPr>
              <w:jc w:val="center"/>
              <w:rPr>
                <w:lang w:val="uz-Cyrl-UZ"/>
              </w:rPr>
            </w:pPr>
            <w:r w:rsidRPr="00BC35FC">
              <w:rPr>
                <w:lang w:val="uz-Cyrl-UZ"/>
              </w:rPr>
              <w:t>Bankning affillangan shaxslari bilan kelgusida bank tomonidan kundalik xо‘jalik faoliyati jarayonida aksiyadorlarning keyingi yillik umumiy yig‘ilishigacha bо‘lgan davrda tuzilishi mumkin bо‘lgan bitimlarni ma’qullash</w:t>
            </w:r>
            <w:r w:rsidR="00914AF7"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5E692" w14:textId="27E186DA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2B467A" w14:textId="06A07955" w:rsidR="00914AF7" w:rsidRPr="00B15994" w:rsidRDefault="00EF2E3C" w:rsidP="00914AF7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475 333 333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BB58D" w14:textId="0478876A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B0A608" w14:textId="1EEF9A1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E6981" w14:textId="68F7411D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26995" w14:textId="7089F0CA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EF2E3C" w14:paraId="468A27F8" w14:textId="77777777" w:rsidTr="00461B4F">
        <w:trPr>
          <w:trHeight w:val="478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75286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F59CB9" w14:textId="0C30EB1C" w:rsidR="00914AF7" w:rsidRPr="00F405D7" w:rsidRDefault="00914AF7" w:rsidP="00914AF7">
            <w:pPr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tomonidan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qabul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qilingan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qarorlarning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tо‘liq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bayoni</w:t>
            </w:r>
            <w:r w:rsidRPr="00F405D7">
              <w:rPr>
                <w:lang w:val="uz-Cyrl-UZ"/>
              </w:rPr>
              <w:t>:</w:t>
            </w:r>
          </w:p>
        </w:tc>
      </w:tr>
      <w:tr w:rsidR="00914AF7" w:rsidRPr="00EF2E3C" w14:paraId="15F008CE" w14:textId="77777777" w:rsidTr="00914AF7">
        <w:trPr>
          <w:trHeight w:val="48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C28DE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2899F9" w14:textId="77777777" w:rsidR="00914AF7" w:rsidRPr="00F405D7" w:rsidRDefault="00914AF7" w:rsidP="00914AF7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1.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2893D" w14:textId="77777777" w:rsidR="00914AF7" w:rsidRPr="00B15994" w:rsidRDefault="00914AF7" w:rsidP="00914AF7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Bankning sanoq komissiyasi a’zolari soni uch kishidan iborat bo‘lsin va quyidagi tarkibda</w:t>
            </w:r>
          </w:p>
          <w:p w14:paraId="297BCC32" w14:textId="77777777" w:rsidR="00914AF7" w:rsidRPr="00B15994" w:rsidRDefault="00914AF7" w:rsidP="00914AF7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tasdiqlansin:</w:t>
            </w:r>
          </w:p>
          <w:p w14:paraId="4B755BB0" w14:textId="11503628" w:rsidR="00BC35FC" w:rsidRPr="00BC35FC" w:rsidRDefault="00BC35FC" w:rsidP="00BC35FC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 xml:space="preserve">- </w:t>
            </w:r>
            <w:r w:rsidRPr="00BC35FC">
              <w:rPr>
                <w:rFonts w:eastAsia="Times New Roman"/>
                <w:lang w:val="uz-Cyrl-UZ"/>
              </w:rPr>
              <w:t>Napasov Bunyodbek Rashidbek o‘g‘li - “Smart bank” aksiyadorlik jamiyati HR boshqarmasi boshlig‘i v.b., komissiya raisi;</w:t>
            </w:r>
          </w:p>
          <w:p w14:paraId="704B51C4" w14:textId="77777777" w:rsidR="00BC35FC" w:rsidRPr="00BC35FC" w:rsidRDefault="00BC35FC" w:rsidP="00BC35FC">
            <w:pPr>
              <w:rPr>
                <w:rFonts w:eastAsia="Times New Roman"/>
                <w:lang w:val="uz-Cyrl-UZ"/>
              </w:rPr>
            </w:pPr>
            <w:r w:rsidRPr="00BC35FC">
              <w:rPr>
                <w:rFonts w:eastAsia="Times New Roman"/>
                <w:lang w:val="uz-Cyrl-UZ"/>
              </w:rPr>
              <w:t>- Xaitboyev Bunyod Baxtiyor o‘g‘li - “Smart bank” aksiyadorlik jamiyati Tashqi iqtisodiy faoliyat boshqarmasi bo‘lim boshlig‘i, komissiya a’zosi;</w:t>
            </w:r>
          </w:p>
          <w:p w14:paraId="3EEC9A80" w14:textId="34517790" w:rsidR="00914AF7" w:rsidRPr="00B15994" w:rsidRDefault="00BC35FC" w:rsidP="00BC35FC">
            <w:pPr>
              <w:jc w:val="both"/>
              <w:rPr>
                <w:rFonts w:eastAsia="Times New Roman"/>
                <w:lang w:val="uz-Cyrl-UZ"/>
              </w:rPr>
            </w:pPr>
            <w:r w:rsidRPr="00BC35FC">
              <w:rPr>
                <w:rFonts w:eastAsia="Times New Roman"/>
                <w:lang w:val="uz-Cyrl-UZ"/>
              </w:rPr>
              <w:lastRenderedPageBreak/>
              <w:t>- Salomov Sardor Fozil o‘g‘li - “Smart bank” aksiyadorlik jamiyati Korporativ biznes boshqarmasi bosh menejeri, komissiya a’zosi.</w:t>
            </w:r>
          </w:p>
        </w:tc>
      </w:tr>
      <w:tr w:rsidR="00914AF7" w:rsidRPr="00EF2E3C" w14:paraId="54DF1631" w14:textId="77777777" w:rsidTr="00461B4F">
        <w:trPr>
          <w:trHeight w:val="681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EFC37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E9EBA" w14:textId="25075F9F" w:rsidR="00914AF7" w:rsidRPr="00F405D7" w:rsidRDefault="00914AF7" w:rsidP="00914AF7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2.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1656E" w14:textId="77777777" w:rsidR="00B15994" w:rsidRDefault="00914AF7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Aksiyadorlarning navbatdan tashqari umumiy yig‘ilishi reglamenti tasdiqlansin va u quyidagi</w:t>
            </w:r>
            <w:r w:rsidR="00B15994"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tartibda tashkil etilsin:</w:t>
            </w:r>
          </w:p>
          <w:p w14:paraId="151E075B" w14:textId="77777777" w:rsidR="00B15994" w:rsidRDefault="00914AF7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- ma’ruzalar uchun 15 daqiqagacha vaqt ajratilishi;</w:t>
            </w:r>
          </w:p>
          <w:p w14:paraId="5C0C09C1" w14:textId="3C0CFBD6" w:rsidR="00914AF7" w:rsidRPr="00B15994" w:rsidRDefault="00914AF7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- muhokama va</w:t>
            </w:r>
            <w:r w:rsidR="00B15994"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muzokaralar, shuningdek ovoz berish uchun 5 daqiqagacha vaqt ajratilishi.</w:t>
            </w:r>
          </w:p>
        </w:tc>
      </w:tr>
      <w:tr w:rsidR="00914AF7" w:rsidRPr="00EF2E3C" w14:paraId="36A93C52" w14:textId="77777777" w:rsidTr="00B15994">
        <w:trPr>
          <w:trHeight w:val="315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FB022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4C98A" w14:textId="74E30A7F" w:rsidR="00914AF7" w:rsidRPr="00461B4F" w:rsidRDefault="00914AF7" w:rsidP="00914A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DA87D4" w14:textId="77777777" w:rsidR="00BC35FC" w:rsidRPr="00BC35FC" w:rsidRDefault="00BC35FC" w:rsidP="00BC35FC">
            <w:pPr>
              <w:rPr>
                <w:rFonts w:eastAsia="Times New Roman"/>
                <w:lang w:val="uz-Cyrl-UZ"/>
              </w:rPr>
            </w:pPr>
            <w:r w:rsidRPr="00BC35FC">
              <w:rPr>
                <w:rFonts w:eastAsia="Times New Roman"/>
                <w:lang w:val="uz-Cyrl-UZ"/>
              </w:rPr>
              <w:t>3.1. Bankning joylashgan yeri, pochta manzili Toshkent shahri, Yunusobod tumani, Shaxrisabz kо‘chasi 2-uyga о‘zgartirishga rozilik berilsin.</w:t>
            </w:r>
          </w:p>
          <w:p w14:paraId="2499B3BF" w14:textId="77777777" w:rsidR="00BC35FC" w:rsidRPr="00BC35FC" w:rsidRDefault="00BC35FC" w:rsidP="00BC35FC">
            <w:pPr>
              <w:rPr>
                <w:rFonts w:eastAsia="Times New Roman"/>
                <w:lang w:val="uz-Cyrl-UZ"/>
              </w:rPr>
            </w:pPr>
            <w:r w:rsidRPr="00BC35FC">
              <w:rPr>
                <w:rFonts w:eastAsia="Times New Roman"/>
                <w:lang w:val="uz-Cyrl-UZ"/>
              </w:rPr>
              <w:t>3.2. Bank Boshqaruvi (A.To‘rayev):</w:t>
            </w:r>
          </w:p>
          <w:p w14:paraId="1BC8C4A1" w14:textId="77777777" w:rsidR="00BC35FC" w:rsidRDefault="00BC35FC" w:rsidP="00BC35FC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 xml:space="preserve">     - </w:t>
            </w:r>
            <w:r w:rsidRPr="00BC35FC">
              <w:rPr>
                <w:rFonts w:eastAsia="Times New Roman"/>
                <w:lang w:val="uz-Cyrl-UZ"/>
              </w:rPr>
              <w:t>amaldagi qonunchilik talablariga muvofiq yangi manzildagi binoning,</w:t>
            </w:r>
            <w:r>
              <w:rPr>
                <w:rFonts w:eastAsia="Times New Roman"/>
                <w:lang w:val="uz-Cyrl-UZ"/>
              </w:rPr>
              <w:t xml:space="preserve"> </w:t>
            </w:r>
            <w:r w:rsidRPr="00BC35FC">
              <w:rPr>
                <w:rFonts w:eastAsia="Times New Roman"/>
                <w:lang w:val="uz-Cyrl-UZ"/>
              </w:rPr>
              <w:t>uning muhofaza</w:t>
            </w:r>
            <w:r>
              <w:rPr>
                <w:rFonts w:eastAsia="Times New Roman"/>
                <w:lang w:val="uz-Cyrl-UZ"/>
              </w:rPr>
              <w:t xml:space="preserve"> </w:t>
            </w:r>
            <w:r w:rsidRPr="00BC35FC">
              <w:rPr>
                <w:rFonts w:eastAsia="Times New Roman"/>
                <w:lang w:val="uz-Cyrl-UZ"/>
              </w:rPr>
              <w:t>qilinishi, uskunalar, tashkiliy-texnik vositalar bilan</w:t>
            </w:r>
            <w:r>
              <w:rPr>
                <w:rFonts w:eastAsia="Times New Roman"/>
                <w:lang w:val="uz-Cyrl-UZ"/>
              </w:rPr>
              <w:t xml:space="preserve"> </w:t>
            </w:r>
            <w:r w:rsidRPr="00BC35FC">
              <w:rPr>
                <w:rFonts w:eastAsia="Times New Roman"/>
                <w:lang w:val="uz-Cyrl-UZ"/>
              </w:rPr>
              <w:t>jihozlanishi va dasturiy ta’minoti Markaziy bank talablariga muvofiqligi to‘g‘risidagi Toshkent shahar Markaziy banki bosh boshqarmasining xulosasi olinishini ta’minlasin;</w:t>
            </w:r>
          </w:p>
          <w:p w14:paraId="4A9F6C48" w14:textId="77777777" w:rsidR="00BC35FC" w:rsidRDefault="00BC35FC" w:rsidP="00BC35FC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 xml:space="preserve">     - </w:t>
            </w:r>
            <w:r w:rsidRPr="00BC35FC">
              <w:rPr>
                <w:rFonts w:eastAsia="Times New Roman"/>
                <w:lang w:val="uz-Cyrl-UZ"/>
              </w:rPr>
              <w:t>belgilangan tartibda ijara shartnomasi hamda bino ta’minoti va saqlash (ekspluatatsiya) xarajatlari bo‘yicha xizmat ko‘rsatish shartnomalari tuzilsin;</w:t>
            </w:r>
          </w:p>
          <w:p w14:paraId="12648E06" w14:textId="309DDCB4" w:rsidR="00914AF7" w:rsidRPr="00B15994" w:rsidRDefault="00BC35FC" w:rsidP="00BC35FC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 xml:space="preserve">     - </w:t>
            </w:r>
            <w:r w:rsidRPr="00BC35FC">
              <w:rPr>
                <w:rFonts w:eastAsia="Times New Roman"/>
                <w:lang w:val="uz-Cyrl-UZ"/>
              </w:rPr>
              <w:t>bankning joylashgan yeri, pochta manzili o‘zgarishi munosabati bilan o‘rnatilgan tartibda davlat ro‘yxatidan o‘tkazilsin hamda belgilangan tartibda e’lon qilinsin</w:t>
            </w:r>
            <w:r w:rsidR="00B15994" w:rsidRPr="00B15994">
              <w:rPr>
                <w:rFonts w:eastAsia="Times New Roman"/>
                <w:lang w:val="uz-Cyrl-UZ"/>
              </w:rPr>
              <w:t>.</w:t>
            </w:r>
          </w:p>
        </w:tc>
      </w:tr>
      <w:tr w:rsidR="00914AF7" w:rsidRPr="00EF2E3C" w14:paraId="77561198" w14:textId="77777777" w:rsidTr="00914AF7">
        <w:trPr>
          <w:trHeight w:val="688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E7452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112B14" w14:textId="239309DD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4</w:t>
            </w:r>
            <w:r w:rsidRPr="00F405D7">
              <w:rPr>
                <w:lang w:val="uz-Cyrl-UZ"/>
              </w:rPr>
              <w:t>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440C8" w14:textId="5A65A196" w:rsidR="00914AF7" w:rsidRPr="00B15994" w:rsidRDefault="00BC35FC" w:rsidP="00B15994">
            <w:pPr>
              <w:jc w:val="both"/>
              <w:rPr>
                <w:rFonts w:eastAsia="Times New Roman"/>
                <w:lang w:val="uz-Cyrl-UZ"/>
              </w:rPr>
            </w:pPr>
            <w:r w:rsidRPr="00BC35FC">
              <w:rPr>
                <w:rFonts w:eastAsia="Times New Roman"/>
                <w:lang w:val="uz-Cyrl-UZ"/>
              </w:rPr>
              <w:t>Bank Ustaviga 1-ilovaga muvofiq o‘zgartirishlar kiritilsin</w:t>
            </w:r>
            <w:r w:rsidR="00B15994" w:rsidRPr="00B15994">
              <w:rPr>
                <w:rFonts w:eastAsia="Times New Roman"/>
                <w:lang w:val="uz-Cyrl-UZ"/>
              </w:rPr>
              <w:t>.</w:t>
            </w:r>
          </w:p>
        </w:tc>
      </w:tr>
      <w:tr w:rsidR="00914AF7" w:rsidRPr="00BC35FC" w14:paraId="4E742E6A" w14:textId="77777777" w:rsidTr="00B15994">
        <w:trPr>
          <w:trHeight w:val="557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A1402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E750E" w14:textId="65BF6D3F" w:rsidR="00914AF7" w:rsidRPr="00914AF7" w:rsidRDefault="00914AF7" w:rsidP="00914AF7">
            <w:pPr>
              <w:jc w:val="center"/>
            </w:pPr>
            <w:r>
              <w:t>5.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D7C3D" w14:textId="7EDB4B93" w:rsidR="00914AF7" w:rsidRPr="00B15994" w:rsidRDefault="00BC35FC" w:rsidP="00B15994">
            <w:pPr>
              <w:jc w:val="both"/>
              <w:rPr>
                <w:rFonts w:eastAsia="Times New Roman"/>
                <w:lang w:val="uz-Cyrl-UZ"/>
              </w:rPr>
            </w:pPr>
            <w:r w:rsidRPr="00BC35FC">
              <w:rPr>
                <w:rFonts w:eastAsia="Times New Roman"/>
                <w:lang w:val="uz-Cyrl-UZ"/>
              </w:rPr>
              <w:t>Bankning tashkiliy tuzilmasi 2-ilovaga muvofiq tasdiqlansin</w:t>
            </w:r>
            <w:r w:rsidR="00B15994" w:rsidRPr="00B15994">
              <w:rPr>
                <w:rFonts w:eastAsia="Times New Roman"/>
                <w:lang w:val="uz-Cyrl-UZ"/>
              </w:rPr>
              <w:t>.</w:t>
            </w:r>
          </w:p>
        </w:tc>
      </w:tr>
      <w:tr w:rsidR="00914AF7" w:rsidRPr="003B7F41" w14:paraId="184D481D" w14:textId="77777777" w:rsidTr="00B15994">
        <w:trPr>
          <w:trHeight w:val="311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F5608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43B88" w14:textId="4DB50934" w:rsidR="00914AF7" w:rsidRPr="00914AF7" w:rsidRDefault="00914AF7" w:rsidP="00914AF7">
            <w:pPr>
              <w:jc w:val="center"/>
            </w:pPr>
            <w:r>
              <w:t>6.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CCD4F" w14:textId="080EDAC6" w:rsidR="00914AF7" w:rsidRPr="00B15994" w:rsidRDefault="00BC35FC" w:rsidP="00914AF7">
            <w:pPr>
              <w:jc w:val="both"/>
              <w:rPr>
                <w:rFonts w:eastAsia="Times New Roman"/>
                <w:lang w:val="uz-Cyrl-UZ"/>
              </w:rPr>
            </w:pPr>
            <w:r w:rsidRPr="00BC35FC">
              <w:rPr>
                <w:rFonts w:eastAsia="Times New Roman"/>
                <w:lang w:val="uz-Cyrl-UZ"/>
              </w:rPr>
              <w:t>Bankning IT sohasi bo‘yicha  3-ilovaga muvofiq hisoboti ma’qullansin va tasdiqlansin</w:t>
            </w:r>
            <w:r w:rsidR="00B15994" w:rsidRPr="00B15994">
              <w:rPr>
                <w:rFonts w:eastAsia="Times New Roman"/>
                <w:lang w:val="uz-Cyrl-UZ"/>
              </w:rPr>
              <w:t>.</w:t>
            </w:r>
          </w:p>
        </w:tc>
      </w:tr>
      <w:tr w:rsidR="00914AF7" w:rsidRPr="00BC35FC" w14:paraId="23296461" w14:textId="77777777" w:rsidTr="00B15994">
        <w:trPr>
          <w:trHeight w:val="216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D4D1D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43AF6" w14:textId="64FFEEA3" w:rsidR="00914AF7" w:rsidRPr="00914AF7" w:rsidRDefault="00914AF7" w:rsidP="00914AF7">
            <w:pPr>
              <w:jc w:val="center"/>
            </w:pPr>
            <w:r>
              <w:t>7.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6B8B9" w14:textId="7D6B06C2" w:rsidR="00914AF7" w:rsidRPr="00B15994" w:rsidRDefault="00BC35FC" w:rsidP="00914AF7">
            <w:pPr>
              <w:jc w:val="both"/>
              <w:rPr>
                <w:rFonts w:eastAsia="Times New Roman"/>
                <w:lang w:val="uz-Cyrl-UZ"/>
              </w:rPr>
            </w:pPr>
            <w:r w:rsidRPr="00BC35FC">
              <w:rPr>
                <w:rFonts w:eastAsia="Times New Roman"/>
                <w:lang w:val="uz-Cyrl-UZ"/>
              </w:rPr>
              <w:t>Bankning affillangan shaxslari bilan kelgusida bank tomonidan kundalik xо‘jalik faoliyati jarayonida aksiyadorlarning keyingi yillik umumiy yig‘ilishigacha bо‘lgan davrda tuzilishi mumkin bо‘lgan bitimlar 4-ilovaga muvofiq ma’qullansin</w:t>
            </w:r>
            <w:r w:rsidR="00B15994" w:rsidRPr="00B15994">
              <w:rPr>
                <w:rFonts w:eastAsia="Times New Roman"/>
                <w:lang w:val="uz-Cyrl-UZ"/>
              </w:rPr>
              <w:t>.</w:t>
            </w:r>
          </w:p>
        </w:tc>
      </w:tr>
      <w:tr w:rsidR="00914AF7" w:rsidRPr="003B7F41" w14:paraId="746DCD63" w14:textId="77777777" w:rsidTr="00B8704B">
        <w:trPr>
          <w:trHeight w:val="343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EDE55C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10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4DF0D" w14:textId="0A172A39" w:rsidR="00914AF7" w:rsidRPr="00F405D7" w:rsidRDefault="00914AF7" w:rsidP="00914AF7">
            <w:pPr>
              <w:rPr>
                <w:lang w:val="uz-Cyrl-UZ"/>
              </w:rPr>
            </w:pPr>
          </w:p>
        </w:tc>
      </w:tr>
      <w:tr w:rsidR="00914AF7" w:rsidRPr="00F405D7" w14:paraId="6247AF77" w14:textId="77777777" w:rsidTr="00B8704B">
        <w:trPr>
          <w:trHeight w:val="655"/>
          <w:jc w:val="center"/>
        </w:trPr>
        <w:tc>
          <w:tcPr>
            <w:tcW w:w="7142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032573" w14:textId="77777777" w:rsidR="00914AF7" w:rsidRPr="009554AE" w:rsidRDefault="00914AF7" w:rsidP="00914AF7">
            <w:pPr>
              <w:rPr>
                <w:lang w:val="uz-Cyrl-UZ"/>
              </w:rPr>
            </w:pPr>
          </w:p>
          <w:p w14:paraId="2C8AB1DA" w14:textId="72B7E56F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lang w:val="uz-Cyrl-UZ"/>
              </w:rPr>
              <w:t>Ijroiya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organi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rahbarining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I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SH</w:t>
            </w:r>
            <w:r w:rsidRPr="009554AE">
              <w:rPr>
                <w:lang w:val="uz-Cyrl-UZ"/>
              </w:rPr>
              <w:t>.:</w:t>
            </w:r>
          </w:p>
        </w:tc>
        <w:tc>
          <w:tcPr>
            <w:tcW w:w="3362" w:type="dxa"/>
            <w:gridSpan w:val="5"/>
            <w:shd w:val="clear" w:color="auto" w:fill="FFFFFF"/>
          </w:tcPr>
          <w:p w14:paraId="0AF678B7" w14:textId="77777777" w:rsidR="00914AF7" w:rsidRPr="009554AE" w:rsidRDefault="00914AF7" w:rsidP="00914AF7">
            <w:pPr>
              <w:rPr>
                <w:lang w:val="uz-Cyrl-UZ"/>
              </w:rPr>
            </w:pPr>
          </w:p>
          <w:p w14:paraId="5BF5082E" w14:textId="733086FF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lang w:val="uz-Cyrl-UZ"/>
              </w:rPr>
              <w:t>Tо‘rayev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Azamat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Shuxratovich</w:t>
            </w:r>
          </w:p>
        </w:tc>
      </w:tr>
      <w:tr w:rsidR="00914AF7" w:rsidRPr="00F405D7" w14:paraId="4DA34CC4" w14:textId="77777777" w:rsidTr="00B8704B">
        <w:trPr>
          <w:jc w:val="center"/>
        </w:trPr>
        <w:tc>
          <w:tcPr>
            <w:tcW w:w="7142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BA3D5" w14:textId="5334D357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9554AE">
              <w:rPr>
                <w:lang w:val="uz-Cyrl-UZ"/>
              </w:rPr>
              <w:br/>
            </w:r>
            <w:r>
              <w:rPr>
                <w:lang w:val="uz-Cyrl-UZ"/>
              </w:rPr>
              <w:t>Bosh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buxgalterning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I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SH</w:t>
            </w:r>
            <w:r w:rsidRPr="009554AE">
              <w:rPr>
                <w:lang w:val="uz-Cyrl-UZ"/>
              </w:rPr>
              <w:t>.:</w:t>
            </w:r>
          </w:p>
        </w:tc>
        <w:tc>
          <w:tcPr>
            <w:tcW w:w="3362" w:type="dxa"/>
            <w:gridSpan w:val="5"/>
            <w:shd w:val="clear" w:color="auto" w:fill="FFFFFF"/>
          </w:tcPr>
          <w:p w14:paraId="1BE8D0E9" w14:textId="74B0FA38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9554AE">
              <w:rPr>
                <w:lang w:val="uz-Cyrl-UZ"/>
              </w:rPr>
              <w:br/>
            </w:r>
            <w:r>
              <w:rPr>
                <w:lang w:val="uz-Cyrl-UZ"/>
              </w:rPr>
              <w:t>Utamurotov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Odil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Toshpulotovich</w:t>
            </w:r>
          </w:p>
        </w:tc>
      </w:tr>
      <w:tr w:rsidR="00914AF7" w:rsidRPr="00F405D7" w14:paraId="7F419967" w14:textId="77777777" w:rsidTr="00B8704B">
        <w:trPr>
          <w:jc w:val="center"/>
        </w:trPr>
        <w:tc>
          <w:tcPr>
            <w:tcW w:w="7142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DB196" w14:textId="2C0DFD88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9554AE">
              <w:rPr>
                <w:lang w:val="uz-Cyrl-UZ"/>
              </w:rPr>
              <w:br/>
            </w:r>
            <w:r>
              <w:rPr>
                <w:lang w:val="uz-Cyrl-UZ"/>
              </w:rPr>
              <w:t>Veb</w:t>
            </w:r>
            <w:r w:rsidRPr="009554AE">
              <w:rPr>
                <w:lang w:val="uz-Cyrl-UZ"/>
              </w:rPr>
              <w:t>-</w:t>
            </w:r>
            <w:r>
              <w:rPr>
                <w:lang w:val="uz-Cyrl-UZ"/>
              </w:rPr>
              <w:t>saytda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axborot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joylashtirgan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vakolatli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shaxsning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I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SH</w:t>
            </w:r>
            <w:r w:rsidRPr="009554AE">
              <w:rPr>
                <w:lang w:val="uz-Cyrl-UZ"/>
              </w:rPr>
              <w:t>.:</w:t>
            </w:r>
          </w:p>
        </w:tc>
        <w:tc>
          <w:tcPr>
            <w:tcW w:w="3362" w:type="dxa"/>
            <w:gridSpan w:val="5"/>
            <w:shd w:val="clear" w:color="auto" w:fill="FFFFFF"/>
            <w:vAlign w:val="bottom"/>
          </w:tcPr>
          <w:p w14:paraId="1D52743A" w14:textId="687CB643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lang w:val="uz-Cyrl-UZ"/>
              </w:rPr>
              <w:t>Utamurotov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Odil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Toshpulotovich</w:t>
            </w:r>
          </w:p>
        </w:tc>
      </w:tr>
    </w:tbl>
    <w:p w14:paraId="19F9F3FD" w14:textId="77777777" w:rsidR="00EC45D9" w:rsidRDefault="00EC45D9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</w:p>
    <w:p w14:paraId="28660154" w14:textId="6A9E08B9" w:rsidR="00F405D7" w:rsidRP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F405D7">
        <w:rPr>
          <w:rFonts w:eastAsia="Times New Roman"/>
          <w:sz w:val="20"/>
          <w:szCs w:val="20"/>
          <w:lang w:val="uz-Cyrl-UZ"/>
        </w:rPr>
        <w:t xml:space="preserve">* </w:t>
      </w:r>
      <w:r w:rsidR="00FC38EC">
        <w:rPr>
          <w:rFonts w:eastAsia="Times New Roman"/>
          <w:sz w:val="20"/>
          <w:szCs w:val="20"/>
          <w:lang w:val="uz-Cyrl-UZ"/>
        </w:rPr>
        <w:t>Mavjud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bо‘lganda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kо‘rsatiladi</w:t>
      </w:r>
      <w:r w:rsidRPr="00F405D7">
        <w:rPr>
          <w:rFonts w:eastAsia="Times New Roman"/>
          <w:sz w:val="20"/>
          <w:szCs w:val="20"/>
          <w:lang w:val="uz-Cyrl-UZ"/>
        </w:rPr>
        <w:t xml:space="preserve">. </w:t>
      </w:r>
    </w:p>
    <w:p w14:paraId="6C4DC483" w14:textId="0DAB9B40" w:rsidR="00F405D7" w:rsidRP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F405D7">
        <w:rPr>
          <w:rFonts w:eastAsia="Times New Roman"/>
          <w:sz w:val="20"/>
          <w:szCs w:val="20"/>
          <w:lang w:val="uz-Cyrl-UZ"/>
        </w:rPr>
        <w:t xml:space="preserve">** </w:t>
      </w:r>
      <w:r w:rsidR="00FC38EC">
        <w:rPr>
          <w:rFonts w:eastAsia="Times New Roman"/>
          <w:sz w:val="20"/>
          <w:szCs w:val="20"/>
          <w:lang w:val="uz-Cyrl-UZ"/>
        </w:rPr>
        <w:t>Agar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aksiyadorlarning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umumiy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yig‘ilishi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tomonidan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imtiyozli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egalari</w:t>
      </w:r>
      <w:r w:rsidRPr="00F405D7">
        <w:rPr>
          <w:rFonts w:eastAsia="Times New Roman"/>
          <w:sz w:val="20"/>
          <w:szCs w:val="20"/>
          <w:lang w:val="uz-Cyrl-UZ"/>
        </w:rPr>
        <w:t xml:space="preserve"> — </w:t>
      </w:r>
      <w:r w:rsidR="00FC38EC">
        <w:rPr>
          <w:rFonts w:eastAsia="Times New Roman"/>
          <w:sz w:val="20"/>
          <w:szCs w:val="20"/>
          <w:lang w:val="uz-Cyrl-UZ"/>
        </w:rPr>
        <w:t>aksiyadorlarning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huquqlariga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о‘zgartirishlar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FC38EC">
        <w:rPr>
          <w:rFonts w:eastAsia="Times New Roman"/>
          <w:sz w:val="20"/>
          <w:szCs w:val="20"/>
          <w:lang w:val="uz-Cyrl-UZ"/>
        </w:rPr>
        <w:t>aksiyadorlik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jamiyatining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ustav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kapitalini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kо‘paytirish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bilan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bog‘liq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jamiyatning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ustaviga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о‘zgartirish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qо‘shimchalar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tо‘g‘risidagi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masalalarni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hal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qilish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bо‘yicha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vakolatlarni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kuzatuv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kengashiga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berish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FC38EC">
        <w:rPr>
          <w:rFonts w:eastAsia="Times New Roman"/>
          <w:sz w:val="20"/>
          <w:szCs w:val="20"/>
          <w:lang w:val="uz-Cyrl-UZ"/>
        </w:rPr>
        <w:t>e’lon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qilingan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tо‘g‘risidagi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qoidalarni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yoki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ularga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о‘zgartirish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qо‘shimchalar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FC38EC">
        <w:rPr>
          <w:rFonts w:eastAsia="Times New Roman"/>
          <w:sz w:val="20"/>
          <w:szCs w:val="20"/>
          <w:lang w:val="uz-Cyrl-UZ"/>
        </w:rPr>
        <w:t>bitta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aksiyadorga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tegishli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bо‘lgan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soniga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hamda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nominal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qiymatining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summasiga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FC38EC">
        <w:rPr>
          <w:rFonts w:eastAsia="Times New Roman"/>
          <w:sz w:val="20"/>
          <w:szCs w:val="20"/>
          <w:lang w:val="uz-Cyrl-UZ"/>
        </w:rPr>
        <w:t>shuningdek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bitta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aksiyadorga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berilgan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maksimal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ovozlar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soniga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cheklashni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belgilash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bilan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bog‘liq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bо‘lgan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aksiyadorlik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jamiyati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ustaviga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о‘zgartirish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(</w:t>
      </w:r>
      <w:r w:rsidR="00FC38EC">
        <w:rPr>
          <w:rFonts w:eastAsia="Times New Roman"/>
          <w:sz w:val="20"/>
          <w:szCs w:val="20"/>
          <w:lang w:val="uz-Cyrl-UZ"/>
        </w:rPr>
        <w:t>yoki</w:t>
      </w:r>
      <w:r w:rsidRPr="00F405D7">
        <w:rPr>
          <w:rFonts w:eastAsia="Times New Roman"/>
          <w:sz w:val="20"/>
          <w:szCs w:val="20"/>
          <w:lang w:val="uz-Cyrl-UZ"/>
        </w:rPr>
        <w:t xml:space="preserve">) </w:t>
      </w:r>
      <w:r w:rsidR="00FC38EC">
        <w:rPr>
          <w:rFonts w:eastAsia="Times New Roman"/>
          <w:sz w:val="20"/>
          <w:szCs w:val="20"/>
          <w:lang w:val="uz-Cyrl-UZ"/>
        </w:rPr>
        <w:t>qо‘shimchalar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tо‘g‘risida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qaror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qabul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qilingan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bо‘lsa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ustavga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kiritilayotgan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о‘zgartirish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(</w:t>
      </w:r>
      <w:r w:rsidR="00FC38EC">
        <w:rPr>
          <w:rFonts w:eastAsia="Times New Roman"/>
          <w:sz w:val="20"/>
          <w:szCs w:val="20"/>
          <w:lang w:val="uz-Cyrl-UZ"/>
        </w:rPr>
        <w:t>yoki</w:t>
      </w:r>
      <w:r w:rsidRPr="00F405D7">
        <w:rPr>
          <w:rFonts w:eastAsia="Times New Roman"/>
          <w:sz w:val="20"/>
          <w:szCs w:val="20"/>
          <w:lang w:val="uz-Cyrl-UZ"/>
        </w:rPr>
        <w:t xml:space="preserve">) </w:t>
      </w:r>
      <w:r w:rsidR="00FC38EC">
        <w:rPr>
          <w:rFonts w:eastAsia="Times New Roman"/>
          <w:sz w:val="20"/>
          <w:szCs w:val="20"/>
          <w:lang w:val="uz-Cyrl-UZ"/>
        </w:rPr>
        <w:t>qо‘shimchalarning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matni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biriktiriladi</w:t>
      </w:r>
      <w:r w:rsidRPr="00F405D7">
        <w:rPr>
          <w:rFonts w:eastAsia="Times New Roman"/>
          <w:sz w:val="20"/>
          <w:szCs w:val="20"/>
          <w:lang w:val="uz-Cyrl-UZ"/>
        </w:rPr>
        <w:t xml:space="preserve">. </w:t>
      </w:r>
    </w:p>
    <w:p w14:paraId="7E78BCFD" w14:textId="673A7111" w:rsidR="00F405D7" w:rsidRP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F405D7">
        <w:rPr>
          <w:rFonts w:eastAsia="Times New Roman"/>
          <w:sz w:val="20"/>
          <w:szCs w:val="20"/>
          <w:lang w:val="uz-Cyrl-UZ"/>
        </w:rPr>
        <w:t xml:space="preserve">*** </w:t>
      </w:r>
      <w:r w:rsidR="00FC38EC">
        <w:rPr>
          <w:rFonts w:eastAsia="Times New Roman"/>
          <w:sz w:val="20"/>
          <w:szCs w:val="20"/>
          <w:lang w:val="uz-Cyrl-UZ"/>
        </w:rPr>
        <w:t>Aksiyadorlik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jamiyatining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ijroiya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organi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FC38EC">
        <w:rPr>
          <w:rFonts w:eastAsia="Times New Roman"/>
          <w:sz w:val="20"/>
          <w:szCs w:val="20"/>
          <w:lang w:val="uz-Cyrl-UZ"/>
        </w:rPr>
        <w:t>kuzatuv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kengashi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taftish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komissiyasi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a’zolari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foydasiga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haq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(</w:t>
      </w:r>
      <w:r w:rsidR="00FC38EC">
        <w:rPr>
          <w:rFonts w:eastAsia="Times New Roman"/>
          <w:sz w:val="20"/>
          <w:szCs w:val="20"/>
          <w:lang w:val="uz-Cyrl-UZ"/>
        </w:rPr>
        <w:t>yoki</w:t>
      </w:r>
      <w:r w:rsidRPr="00F405D7">
        <w:rPr>
          <w:rFonts w:eastAsia="Times New Roman"/>
          <w:sz w:val="20"/>
          <w:szCs w:val="20"/>
          <w:lang w:val="uz-Cyrl-UZ"/>
        </w:rPr>
        <w:t xml:space="preserve">) </w:t>
      </w:r>
      <w:r w:rsidR="00FC38EC">
        <w:rPr>
          <w:rFonts w:eastAsia="Times New Roman"/>
          <w:sz w:val="20"/>
          <w:szCs w:val="20"/>
          <w:lang w:val="uz-Cyrl-UZ"/>
        </w:rPr>
        <w:t>kompensatsiyalar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hisoblangan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hollarda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kо‘rsatiladi</w:t>
      </w:r>
      <w:r w:rsidRPr="00F405D7">
        <w:rPr>
          <w:rFonts w:eastAsia="Times New Roman"/>
          <w:sz w:val="20"/>
          <w:szCs w:val="20"/>
          <w:lang w:val="uz-Cyrl-UZ"/>
        </w:rPr>
        <w:t xml:space="preserve">. </w:t>
      </w:r>
    </w:p>
    <w:p w14:paraId="608F2E00" w14:textId="77777777" w:rsid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</w:p>
    <w:p w14:paraId="78F72939" w14:textId="56408586" w:rsidR="00F405D7" w:rsidRPr="00F405D7" w:rsidRDefault="00FC38EC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>
        <w:rPr>
          <w:rFonts w:eastAsia="Times New Roman"/>
          <w:sz w:val="20"/>
          <w:szCs w:val="20"/>
          <w:lang w:val="uz-Cyrl-UZ"/>
        </w:rPr>
        <w:t>Muhim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fakt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yuz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bergan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vaqt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bо‘lib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, </w:t>
      </w:r>
      <w:r>
        <w:rPr>
          <w:rFonts w:eastAsia="Times New Roman"/>
          <w:sz w:val="20"/>
          <w:szCs w:val="20"/>
          <w:lang w:val="uz-Cyrl-UZ"/>
        </w:rPr>
        <w:t>emitent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oliy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boshqaruv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organining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bayonnomasi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tuzilgan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sana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hisoblanadi</w:t>
      </w:r>
      <w:r w:rsidR="00F405D7" w:rsidRPr="00F405D7">
        <w:rPr>
          <w:rFonts w:eastAsia="Times New Roman"/>
          <w:sz w:val="20"/>
          <w:szCs w:val="20"/>
          <w:lang w:val="uz-Cyrl-UZ"/>
        </w:rPr>
        <w:t>.</w:t>
      </w:r>
    </w:p>
    <w:p w14:paraId="311A5E33" w14:textId="77777777" w:rsidR="00F405D7" w:rsidRPr="00F405D7" w:rsidRDefault="00F405D7">
      <w:pPr>
        <w:rPr>
          <w:lang w:val="uz-Cyrl-UZ"/>
        </w:rPr>
      </w:pPr>
    </w:p>
    <w:sectPr w:rsidR="00F405D7" w:rsidRPr="00F4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D7"/>
    <w:rsid w:val="00145189"/>
    <w:rsid w:val="003A60CE"/>
    <w:rsid w:val="003A74E2"/>
    <w:rsid w:val="003B7F41"/>
    <w:rsid w:val="00461B4F"/>
    <w:rsid w:val="0065165A"/>
    <w:rsid w:val="006F1CB5"/>
    <w:rsid w:val="00714A28"/>
    <w:rsid w:val="00727403"/>
    <w:rsid w:val="007F0672"/>
    <w:rsid w:val="00886BE8"/>
    <w:rsid w:val="00914AF7"/>
    <w:rsid w:val="00AB61CA"/>
    <w:rsid w:val="00B15994"/>
    <w:rsid w:val="00B563F3"/>
    <w:rsid w:val="00B8704B"/>
    <w:rsid w:val="00BC35FC"/>
    <w:rsid w:val="00EC45D9"/>
    <w:rsid w:val="00EF2E3C"/>
    <w:rsid w:val="00F405D7"/>
    <w:rsid w:val="00F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C0C7"/>
  <w15:chartTrackingRefBased/>
  <w15:docId w15:val="{29F20AB8-10CF-4EF4-9D1B-494736C4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5D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5D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870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704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704B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70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704B"/>
    <w:rPr>
      <w:rFonts w:ascii="Times New Roman" w:eastAsiaTheme="minorEastAsia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37)" TargetMode="External"/><Relationship Id="rId5" Type="http://schemas.openxmlformats.org/officeDocument/2006/relationships/hyperlink" Target="javascript:scrollText(3080137)" TargetMode="External"/><Relationship Id="rId4" Type="http://schemas.openxmlformats.org/officeDocument/2006/relationships/hyperlink" Target="javascript:scrollText(308013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11</cp:revision>
  <dcterms:created xsi:type="dcterms:W3CDTF">2024-03-19T08:26:00Z</dcterms:created>
  <dcterms:modified xsi:type="dcterms:W3CDTF">2025-04-28T05:04:00Z</dcterms:modified>
</cp:coreProperties>
</file>