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39B4" w14:textId="5A748505" w:rsidR="00F405D7" w:rsidRPr="005D0B83" w:rsidRDefault="00F405D7" w:rsidP="00F405D7">
      <w:pPr>
        <w:shd w:val="clear" w:color="auto" w:fill="FFFFFF"/>
        <w:rPr>
          <w:rFonts w:eastAsia="Times New Roman"/>
          <w:b/>
          <w:bCs/>
          <w:sz w:val="22"/>
          <w:szCs w:val="22"/>
          <w:lang w:val="uz-Latn-UZ"/>
        </w:rPr>
      </w:pPr>
      <w:r w:rsidRPr="005D0B83">
        <w:rPr>
          <w:rFonts w:eastAsia="Times New Roman"/>
          <w:b/>
          <w:bCs/>
          <w:sz w:val="22"/>
          <w:szCs w:val="22"/>
          <w:lang w:val="uz-Latn-UZ"/>
        </w:rPr>
        <w:t>3-6-</w:t>
      </w:r>
      <w:r w:rsidR="00FC38EC" w:rsidRPr="005D0B83">
        <w:rPr>
          <w:rFonts w:eastAsia="Times New Roman"/>
          <w:b/>
          <w:bCs/>
          <w:sz w:val="22"/>
          <w:szCs w:val="22"/>
          <w:lang w:val="uz-Latn-UZ"/>
        </w:rPr>
        <w:t>ILOVA</w:t>
      </w:r>
      <w:r w:rsidRPr="005D0B83">
        <w:rPr>
          <w:rFonts w:eastAsia="Times New Roman"/>
          <w:b/>
          <w:bCs/>
          <w:sz w:val="22"/>
          <w:szCs w:val="22"/>
          <w:lang w:val="uz-Latn-UZ"/>
        </w:rPr>
        <w:t xml:space="preserve"> </w:t>
      </w:r>
    </w:p>
    <w:tbl>
      <w:tblPr>
        <w:tblW w:w="562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26"/>
        <w:gridCol w:w="2936"/>
        <w:gridCol w:w="1682"/>
        <w:gridCol w:w="627"/>
        <w:gridCol w:w="567"/>
        <w:gridCol w:w="488"/>
        <w:gridCol w:w="840"/>
        <w:gridCol w:w="89"/>
        <w:gridCol w:w="567"/>
        <w:gridCol w:w="185"/>
        <w:gridCol w:w="382"/>
        <w:gridCol w:w="567"/>
        <w:gridCol w:w="734"/>
      </w:tblGrid>
      <w:tr w:rsidR="00F405D7" w:rsidRPr="005D0B83" w14:paraId="4F6F9247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7C6F80" w14:textId="77777777" w:rsidR="00F405D7" w:rsidRPr="005D0B83" w:rsidRDefault="00F405D7" w:rsidP="009823EE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1.</w:t>
            </w:r>
          </w:p>
        </w:tc>
        <w:tc>
          <w:tcPr>
            <w:tcW w:w="1009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CE7BC9" w14:textId="3D830ACF" w:rsidR="00F405D7" w:rsidRPr="005D0B83" w:rsidRDefault="00FC38EC" w:rsidP="009823EE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EMITENTNING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NOMI</w:t>
            </w:r>
          </w:p>
        </w:tc>
      </w:tr>
      <w:tr w:rsidR="0065165A" w:rsidRPr="005D0B83" w14:paraId="7B939308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99D8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59A41A" w14:textId="01FC5AF9" w:rsidR="00F405D7" w:rsidRPr="005D0B83" w:rsidRDefault="00FC38EC" w:rsidP="009823EE">
            <w:pPr>
              <w:ind w:firstLine="44"/>
              <w:rPr>
                <w:lang w:val="uz-Latn-UZ"/>
              </w:rPr>
            </w:pPr>
            <w:r w:rsidRPr="005D0B83">
              <w:rPr>
                <w:lang w:val="uz-Latn-UZ"/>
              </w:rPr>
              <w:t>Tо‘liq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F92881" w14:textId="30961ECC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“</w:t>
            </w:r>
            <w:r w:rsidR="005D0B83" w:rsidRPr="005D0B83">
              <w:rPr>
                <w:lang w:val="uz-Latn-UZ"/>
              </w:rPr>
              <w:t xml:space="preserve">Open </w:t>
            </w:r>
            <w:r w:rsidRPr="005D0B83">
              <w:rPr>
                <w:lang w:val="uz-Latn-UZ"/>
              </w:rPr>
              <w:t xml:space="preserve">bank” </w:t>
            </w:r>
            <w:r w:rsidR="00FC38EC" w:rsidRPr="005D0B83">
              <w:rPr>
                <w:lang w:val="uz-Latn-UZ"/>
              </w:rPr>
              <w:t>aksiyadorlik</w:t>
            </w:r>
            <w:r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jamiyati</w:t>
            </w:r>
          </w:p>
        </w:tc>
      </w:tr>
      <w:tr w:rsidR="0065165A" w:rsidRPr="005D0B83" w14:paraId="0C6B43CB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CA69F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110066" w14:textId="4FF0DA07" w:rsidR="00F405D7" w:rsidRPr="005D0B83" w:rsidRDefault="00FC38EC" w:rsidP="009823EE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Qisqartirilgan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490C58" w14:textId="3E069824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“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 xml:space="preserve"> bank” </w:t>
            </w:r>
            <w:r w:rsidR="00FC38EC" w:rsidRPr="005D0B83">
              <w:rPr>
                <w:lang w:val="uz-Latn-UZ"/>
              </w:rPr>
              <w:t>AJ</w:t>
            </w:r>
          </w:p>
        </w:tc>
      </w:tr>
      <w:tr w:rsidR="0065165A" w:rsidRPr="005D0B83" w14:paraId="421AC42C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48297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E2850A" w14:textId="4270A7B3" w:rsidR="00F405D7" w:rsidRPr="005D0B83" w:rsidRDefault="00FC38EC" w:rsidP="009823EE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Birja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tikerining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nomi</w:t>
            </w:r>
            <w:r w:rsidR="00F405D7" w:rsidRPr="005D0B83">
              <w:rPr>
                <w:lang w:val="uz-Latn-UZ"/>
              </w:rPr>
              <w:t>:</w:t>
            </w:r>
            <w:hyperlink r:id="rId4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016B496" w14:textId="26FB8E82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-</w:t>
            </w:r>
          </w:p>
        </w:tc>
      </w:tr>
      <w:tr w:rsidR="00F405D7" w:rsidRPr="005D0B83" w14:paraId="73DDBD4B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7E4921F" w14:textId="77777777" w:rsidR="00F405D7" w:rsidRPr="005D0B83" w:rsidRDefault="00F405D7" w:rsidP="009823EE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2.</w:t>
            </w:r>
          </w:p>
        </w:tc>
        <w:tc>
          <w:tcPr>
            <w:tcW w:w="1009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C66356" w14:textId="39CC5F9C" w:rsidR="00F405D7" w:rsidRPr="005D0B83" w:rsidRDefault="00FC38EC" w:rsidP="009823EE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ALOQA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MA’LUMOTLARI</w:t>
            </w:r>
          </w:p>
        </w:tc>
      </w:tr>
      <w:tr w:rsidR="003B7F41" w:rsidRPr="00E01270" w14:paraId="0E76AB1F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3EB65" w14:textId="77777777" w:rsidR="003B7F41" w:rsidRPr="005D0B83" w:rsidRDefault="003B7F41" w:rsidP="003B7F41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5A52FD" w14:textId="4011FCAE" w:rsidR="003B7F41" w:rsidRPr="005D0B83" w:rsidRDefault="003B7F41" w:rsidP="003B7F41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Joylashgan yeri: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D2E90D2" w14:textId="7B2D5FC8" w:rsidR="003B7F41" w:rsidRPr="005D0B83" w:rsidRDefault="003B7F41" w:rsidP="003B7F41">
            <w:pPr>
              <w:ind w:left="-39"/>
              <w:rPr>
                <w:lang w:val="uz-Latn-UZ"/>
              </w:rPr>
            </w:pPr>
            <w:r w:rsidRPr="005D0B83">
              <w:rPr>
                <w:lang w:val="uz-Latn-UZ"/>
              </w:rPr>
              <w:t>1000</w:t>
            </w:r>
            <w:r w:rsidR="005D0B83" w:rsidRPr="005D0B83">
              <w:rPr>
                <w:lang w:val="uz-Latn-UZ"/>
              </w:rPr>
              <w:t>00</w:t>
            </w:r>
            <w:r w:rsidRPr="005D0B83">
              <w:rPr>
                <w:lang w:val="uz-Latn-UZ"/>
              </w:rPr>
              <w:t xml:space="preserve">, Toshkent shahri, </w:t>
            </w:r>
            <w:r w:rsidR="005D0B83" w:rsidRPr="005D0B83">
              <w:rPr>
                <w:lang w:val="uz-Latn-UZ"/>
              </w:rPr>
              <w:t>Yunusobod</w:t>
            </w:r>
            <w:r w:rsidRPr="005D0B83">
              <w:rPr>
                <w:lang w:val="uz-Latn-UZ"/>
              </w:rPr>
              <w:t xml:space="preserve"> tumani, </w:t>
            </w:r>
            <w:r w:rsidR="005D0B83" w:rsidRPr="005D0B83">
              <w:rPr>
                <w:lang w:val="uz-Latn-UZ"/>
              </w:rPr>
              <w:t xml:space="preserve">Shahrisabz </w:t>
            </w:r>
            <w:r w:rsidRPr="005D0B83">
              <w:rPr>
                <w:lang w:val="uz-Latn-UZ"/>
              </w:rPr>
              <w:t>kо‘chasi, 2</w:t>
            </w:r>
            <w:r w:rsidR="005D0B83" w:rsidRPr="005D0B83">
              <w:rPr>
                <w:lang w:val="uz-Latn-UZ"/>
              </w:rPr>
              <w:t>-</w:t>
            </w:r>
            <w:r w:rsidRPr="005D0B83">
              <w:rPr>
                <w:lang w:val="uz-Latn-UZ"/>
              </w:rPr>
              <w:t>uy</w:t>
            </w:r>
          </w:p>
        </w:tc>
      </w:tr>
      <w:tr w:rsidR="0065165A" w:rsidRPr="00E01270" w14:paraId="3271C6CA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F8E23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4CD8AB" w14:textId="6C067BD2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Pochta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manzili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620C6A8" w14:textId="4C2DD395" w:rsidR="00F405D7" w:rsidRPr="005D0B83" w:rsidRDefault="005D0B83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100000, Toshkent shahri, Yunusobod tumani, Shahrisabz kо‘chasi, 2-uy</w:t>
            </w:r>
          </w:p>
        </w:tc>
      </w:tr>
      <w:tr w:rsidR="0065165A" w:rsidRPr="00E01270" w14:paraId="2FDD8DD3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41038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4F1035" w14:textId="25FEAA28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Elektron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pochta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manzili</w:t>
            </w:r>
            <w:r w:rsidR="00F405D7" w:rsidRPr="005D0B83">
              <w:rPr>
                <w:lang w:val="uz-Latn-UZ"/>
              </w:rPr>
              <w:t>:</w:t>
            </w:r>
            <w:hyperlink r:id="rId5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52D8F41" w14:textId="0CDB44AD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office@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 (mailto:office@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bank.uz)</w:t>
            </w:r>
          </w:p>
        </w:tc>
      </w:tr>
      <w:tr w:rsidR="0065165A" w:rsidRPr="00E01270" w14:paraId="69ACDF14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AFFE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EA8308" w14:textId="6E2DCF88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Rasmiy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veb</w:t>
            </w:r>
            <w:r w:rsidR="00F405D7" w:rsidRPr="005D0B83">
              <w:rPr>
                <w:lang w:val="uz-Latn-UZ"/>
              </w:rPr>
              <w:t>-</w:t>
            </w:r>
            <w:r w:rsidRPr="005D0B83">
              <w:rPr>
                <w:lang w:val="uz-Latn-UZ"/>
              </w:rPr>
              <w:t>sayti</w:t>
            </w:r>
            <w:r w:rsidR="00F405D7" w:rsidRPr="005D0B83">
              <w:rPr>
                <w:lang w:val="uz-Latn-UZ"/>
              </w:rPr>
              <w:t>:</w:t>
            </w:r>
            <w:hyperlink r:id="rId6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B1A8FD" w14:textId="1686257F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www.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 (http://www.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bank.uz)</w:t>
            </w:r>
          </w:p>
        </w:tc>
      </w:tr>
      <w:tr w:rsidR="00F405D7" w:rsidRPr="00E01270" w14:paraId="162A748F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00A33A" w14:textId="77777777" w:rsidR="00914AF7" w:rsidRPr="005D0B83" w:rsidRDefault="00914AF7" w:rsidP="00F405D7">
            <w:pPr>
              <w:jc w:val="center"/>
              <w:rPr>
                <w:lang w:val="uz-Latn-UZ"/>
              </w:rPr>
            </w:pPr>
          </w:p>
          <w:p w14:paraId="27F6F522" w14:textId="304952F7" w:rsidR="00F405D7" w:rsidRPr="005D0B83" w:rsidRDefault="00F405D7" w:rsidP="00F405D7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3.</w:t>
            </w:r>
          </w:p>
        </w:tc>
        <w:tc>
          <w:tcPr>
            <w:tcW w:w="1009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26DE49" w14:textId="31AC55F0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MUHIM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FAKT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TО‘G‘RISIDA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AXBOROT</w:t>
            </w:r>
          </w:p>
        </w:tc>
      </w:tr>
      <w:tr w:rsidR="0065165A" w:rsidRPr="005D0B83" w14:paraId="18E10A58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643D9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25DAFC" w14:textId="5C9B395B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Muhim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faktning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raqami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4ED8D4" w14:textId="77777777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06</w:t>
            </w:r>
          </w:p>
        </w:tc>
      </w:tr>
      <w:tr w:rsidR="0065165A" w:rsidRPr="00E01270" w14:paraId="7E3D95F1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696D5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51A14" w14:textId="3CD120B0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Muhim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faktning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nomi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0267405" w14:textId="7F45D851" w:rsidR="00F405D7" w:rsidRPr="005D0B83" w:rsidRDefault="00FC38EC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Emitentning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yuqori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boshqaruv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organi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tomonidan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qabul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qilingan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qarorlar</w:t>
            </w:r>
          </w:p>
        </w:tc>
      </w:tr>
      <w:tr w:rsidR="00145189" w:rsidRPr="005D0B83" w14:paraId="180CDB4A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E2C40" w14:textId="77777777" w:rsidR="00145189" w:rsidRPr="005D0B83" w:rsidRDefault="00145189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E443BC" w14:textId="65E40590" w:rsidR="00145189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145189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145189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turi</w:t>
            </w:r>
            <w:r w:rsidR="00145189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07246A" w14:textId="5A34DFE1" w:rsidR="00145189" w:rsidRPr="005D0B83" w:rsidRDefault="00FC38EC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Navbatdan</w:t>
            </w:r>
            <w:r w:rsidR="00145189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tashqari</w:t>
            </w:r>
          </w:p>
        </w:tc>
      </w:tr>
      <w:tr w:rsidR="0065165A" w:rsidRPr="005D0B83" w14:paraId="78D0F2E0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A5BBE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6E477D" w14:textId="2684A2A0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о‘tkazish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sanasi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B95A7C" w14:textId="466646A4" w:rsidR="00F405D7" w:rsidRPr="005D0B83" w:rsidRDefault="00E01270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24</w:t>
            </w:r>
            <w:r w:rsidR="00145189" w:rsidRPr="005D0B83">
              <w:rPr>
                <w:lang w:val="uz-Latn-UZ"/>
              </w:rPr>
              <w:t>.</w:t>
            </w:r>
            <w:r>
              <w:rPr>
                <w:lang w:val="uz-Latn-UZ"/>
              </w:rPr>
              <w:t>04</w:t>
            </w:r>
            <w:r w:rsidR="00145189" w:rsidRPr="005D0B83">
              <w:rPr>
                <w:lang w:val="uz-Latn-UZ"/>
              </w:rPr>
              <w:t>.202</w:t>
            </w:r>
            <w:r w:rsidR="00053E18">
              <w:rPr>
                <w:lang w:val="uz-Latn-UZ"/>
              </w:rPr>
              <w:t>6</w:t>
            </w:r>
            <w:r w:rsidR="00145189"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yil</w:t>
            </w:r>
          </w:p>
        </w:tc>
      </w:tr>
      <w:tr w:rsidR="0065165A" w:rsidRPr="005D0B83" w14:paraId="57670776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2858C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9FD3D" w14:textId="56F57D3F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bayonnomasi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tuzilgan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sana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A04DB89" w14:textId="5E231F9D" w:rsidR="00F405D7" w:rsidRPr="005D0B83" w:rsidRDefault="00E01270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27</w:t>
            </w:r>
            <w:r w:rsidR="00145189" w:rsidRPr="005D0B83">
              <w:rPr>
                <w:lang w:val="uz-Latn-UZ"/>
              </w:rPr>
              <w:t>.</w:t>
            </w:r>
            <w:r>
              <w:rPr>
                <w:lang w:val="uz-Latn-UZ"/>
              </w:rPr>
              <w:t>04</w:t>
            </w:r>
            <w:r w:rsidR="00145189" w:rsidRPr="005D0B83">
              <w:rPr>
                <w:lang w:val="uz-Latn-UZ"/>
              </w:rPr>
              <w:t>.202</w:t>
            </w:r>
            <w:r w:rsidR="00053E18">
              <w:rPr>
                <w:lang w:val="uz-Latn-UZ"/>
              </w:rPr>
              <w:t>6</w:t>
            </w:r>
            <w:r w:rsidR="00145189"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yil</w:t>
            </w:r>
          </w:p>
        </w:tc>
      </w:tr>
      <w:tr w:rsidR="0065165A" w:rsidRPr="00E01270" w14:paraId="4D4E199A" w14:textId="77777777" w:rsidTr="00E01270">
        <w:trPr>
          <w:trHeight w:val="565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61AE7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CC02" w14:textId="35D205FF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о‘tkazilgan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joy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5A95C7F" w14:textId="6F7BFB42" w:rsidR="00F405D7" w:rsidRPr="005D0B83" w:rsidRDefault="003B7F41" w:rsidP="00145189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 xml:space="preserve">Toshkent shahri, </w:t>
            </w:r>
            <w:r w:rsidR="00C64E11" w:rsidRPr="005D0B83">
              <w:rPr>
                <w:lang w:val="uz-Latn-UZ"/>
              </w:rPr>
              <w:t xml:space="preserve">Yunusobod </w:t>
            </w:r>
            <w:r w:rsidRPr="005D0B83">
              <w:rPr>
                <w:lang w:val="uz-Latn-UZ"/>
              </w:rPr>
              <w:t>tumani,</w:t>
            </w:r>
            <w:r w:rsidRPr="005D0B83">
              <w:rPr>
                <w:lang w:val="uz-Latn-UZ"/>
              </w:rPr>
              <w:br/>
            </w:r>
            <w:r w:rsidR="00C64E11" w:rsidRPr="005D0B83">
              <w:rPr>
                <w:lang w:val="uz-Latn-UZ"/>
              </w:rPr>
              <w:t>Sha</w:t>
            </w:r>
            <w:r w:rsidR="005D0B83" w:rsidRPr="005D0B83">
              <w:rPr>
                <w:lang w:val="uz-Latn-UZ"/>
              </w:rPr>
              <w:t>h</w:t>
            </w:r>
            <w:r w:rsidR="00C64E11" w:rsidRPr="005D0B83">
              <w:rPr>
                <w:lang w:val="uz-Latn-UZ"/>
              </w:rPr>
              <w:t>risabz ko‘chasi, 2-uy</w:t>
            </w:r>
          </w:p>
        </w:tc>
      </w:tr>
      <w:tr w:rsidR="0065165A" w:rsidRPr="005D0B83" w14:paraId="51B57EDF" w14:textId="77777777" w:rsidTr="00E01270">
        <w:trPr>
          <w:trHeight w:val="325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FBE4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43697" w14:textId="1C636E54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kvorumi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4F13C1" w14:textId="060B806E" w:rsidR="00F405D7" w:rsidRPr="005D0B83" w:rsidRDefault="00E01270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100,0</w:t>
            </w:r>
          </w:p>
        </w:tc>
      </w:tr>
      <w:tr w:rsidR="0065165A" w:rsidRPr="005D0B83" w14:paraId="7A598211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10DDA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D252A" w14:textId="77777777" w:rsidR="00F405D7" w:rsidRPr="005D0B83" w:rsidRDefault="00F405D7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№</w:t>
            </w:r>
          </w:p>
        </w:tc>
        <w:tc>
          <w:tcPr>
            <w:tcW w:w="524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75BE0" w14:textId="52B0CD5A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Ovoz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berishga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qо‘yilgan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masalalar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6C933D" w14:textId="448F21B5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Ovoz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berish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yakunlari</w:t>
            </w:r>
          </w:p>
        </w:tc>
      </w:tr>
      <w:tr w:rsidR="00B8704B" w:rsidRPr="005D0B83" w14:paraId="4DFF2963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FD07E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E5799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2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38304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89656C6" w14:textId="360E0FFA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yoqlash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2EF9A" w14:textId="68DCDE4A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qarshi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52CFEA" w14:textId="06C7521C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betaraflar</w:t>
            </w:r>
          </w:p>
        </w:tc>
      </w:tr>
      <w:tr w:rsidR="00B8704B" w:rsidRPr="005D0B83" w14:paraId="3F5E2936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8B96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EE46A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2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D9810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A01A7E" w14:textId="77777777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2A1CD" w14:textId="50C7CEEE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530304" w14:textId="35A76DF8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9ECD06" w14:textId="50920141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DF6466" w14:textId="7A1B6FD9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A1E86B" w14:textId="1C41B39B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</w:tr>
      <w:tr w:rsidR="00B8704B" w:rsidRPr="005D0B83" w14:paraId="0CA91FE3" w14:textId="77777777" w:rsidTr="00E01270">
        <w:trPr>
          <w:trHeight w:val="479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FDC61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62DF5" w14:textId="77777777" w:rsidR="00B8704B" w:rsidRPr="00140B00" w:rsidRDefault="00B8704B" w:rsidP="00F405D7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1.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DFD1A" w14:textId="0FB8E3E6" w:rsidR="00B8704B" w:rsidRPr="00140B00" w:rsidRDefault="00E01270" w:rsidP="00914AF7">
            <w:pPr>
              <w:jc w:val="center"/>
              <w:rPr>
                <w:lang w:val="uz-Latn-UZ"/>
              </w:rPr>
            </w:pPr>
            <w:r w:rsidRPr="00E01270">
              <w:rPr>
                <w:lang w:val="uz-Latn-UZ"/>
              </w:rPr>
              <w:t>Bankning sanoq komissiyasi a’zolari soni va shaxsiy tarkibini tasdiqlash.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01717" w14:textId="77777777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D6F404" w14:textId="6EE07422" w:rsidR="00B8704B" w:rsidRPr="00140B00" w:rsidRDefault="00E01270" w:rsidP="00145189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FAC11D" w14:textId="3CCF5AB0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14224B" w14:textId="387476B5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B5BCD" w14:textId="5A9DA6C8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39A62F" w14:textId="2E1B0854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5D0B83" w14:paraId="0DC6FDE7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8ED87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D385F" w14:textId="77777777" w:rsidR="00140B00" w:rsidRPr="00140B00" w:rsidRDefault="00140B00" w:rsidP="00140B00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2.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876AA" w14:textId="14F416D1" w:rsidR="00140B00" w:rsidRPr="00140B0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lang w:val="uz-Latn-UZ"/>
              </w:rPr>
              <w:t>Aksiyadorlarning navbatdan tashqari umumiy yig‘ilishi reglamentini tasdiqlash.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30136" w14:textId="0C6AD112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693617" w14:textId="290CF424" w:rsidR="00140B0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01F389" w14:textId="7CE885FD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0AD16" w14:textId="635D07D2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4C7923" w14:textId="6ED02321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117B3" w14:textId="6E3EB256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5D0B83" w14:paraId="467AC1D8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2FB28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A2424" w14:textId="504F3C72" w:rsidR="00140B00" w:rsidRPr="00140B00" w:rsidRDefault="00140B00" w:rsidP="00140B00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3.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96786" w14:textId="584178D2" w:rsidR="00140B00" w:rsidRPr="00053E18" w:rsidRDefault="00E01270" w:rsidP="00053E18">
            <w:pPr>
              <w:jc w:val="center"/>
              <w:rPr>
                <w:lang w:val="uz-Latn-UZ"/>
              </w:rPr>
            </w:pPr>
            <w:r w:rsidRPr="00E01270">
              <w:rPr>
                <w:lang w:val="uz-Latn-UZ"/>
              </w:rPr>
              <w:t>Bank Kuzatuv kengashi a’zosining vakolatini muddatidan oldin tugatish hamda Kuzatuv kengashi tarkibidan chiqarish.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54FA1" w14:textId="3DFCF94B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CCA60F" w14:textId="7BC774E3" w:rsidR="00140B0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0B6DBB" w14:textId="624CF388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7D886F" w14:textId="3D279521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E7DA93" w14:textId="3290DBF8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B9017C" w14:textId="7A538FC8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5D0B83" w14:paraId="72EF94F0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25E55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9C495" w14:textId="3AD81CEB" w:rsidR="00140B00" w:rsidRPr="00140B00" w:rsidRDefault="00140B00" w:rsidP="00140B00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4.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782EF" w14:textId="438BD9C8" w:rsidR="00140B00" w:rsidRPr="00E01270" w:rsidRDefault="00E01270" w:rsidP="00140B00">
            <w:pPr>
              <w:jc w:val="center"/>
              <w:rPr>
                <w:sz w:val="20"/>
                <w:szCs w:val="20"/>
                <w:lang w:val="en-US"/>
              </w:rPr>
            </w:pPr>
            <w:r w:rsidRPr="00E01270">
              <w:rPr>
                <w:lang w:val="uz-Cyrl-UZ"/>
              </w:rPr>
              <w:t>Bank Kuzatuv kengashi a’zosini saylash.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6FFF0" w14:textId="375918C4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A5705B" w14:textId="70FD0648" w:rsidR="00140B0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D4288E" w14:textId="21B1749D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248CBA" w14:textId="2FD36422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379DCE" w14:textId="5BB52F90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ADA067" w14:textId="50EE7E87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5D0B83" w14:paraId="70A5D0EB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E2269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EB" w14:textId="43FD802F" w:rsidR="00140B00" w:rsidRPr="00140B00" w:rsidRDefault="00140B00" w:rsidP="00140B00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5.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129EA" w14:textId="4B22EFEC" w:rsidR="00140B00" w:rsidRPr="00140B00" w:rsidRDefault="00E01270" w:rsidP="00140B00">
            <w:pPr>
              <w:jc w:val="center"/>
              <w:rPr>
                <w:sz w:val="20"/>
                <w:szCs w:val="20"/>
                <w:lang w:val="uz-Latn-UZ"/>
              </w:rPr>
            </w:pPr>
            <w:r w:rsidRPr="00E01270">
              <w:rPr>
                <w:lang w:val="uz-Cyrl-UZ"/>
              </w:rPr>
              <w:t>Bank Boshqaruvining raqamlashtirish bo‘yicha hisobotini eshitish va tasdiqlash.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1E56E" w14:textId="411252CE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B6443" w14:textId="75D8F583" w:rsidR="00140B0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213C4" w14:textId="652826BA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D0D3C" w14:textId="5062A947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319821" w14:textId="7404DE5C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A601F3" w14:textId="79D359E4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5D0B83" w14:paraId="5708F187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294AA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E1D08" w14:textId="6E807A0A" w:rsidR="00140B00" w:rsidRPr="00140B00" w:rsidRDefault="00140B00" w:rsidP="00140B00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6.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40371" w14:textId="77777777" w:rsidR="00140B0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lang w:val="uz-Latn-UZ"/>
              </w:rPr>
              <w:t>Bankning Ustaviga o‘zgartirish va qo‘shimchalar kiritish.</w:t>
            </w:r>
          </w:p>
          <w:p w14:paraId="07BC80D8" w14:textId="2534D600" w:rsidR="00E01270" w:rsidRPr="00E01270" w:rsidRDefault="00E01270" w:rsidP="00140B00">
            <w:pPr>
              <w:jc w:val="center"/>
              <w:rPr>
                <w:sz w:val="20"/>
                <w:szCs w:val="20"/>
                <w:lang w:val="uz-Latn-UZ"/>
              </w:rPr>
            </w:pPr>
            <w:r w:rsidRPr="00E01270">
              <w:rPr>
                <w:i/>
                <w:iCs/>
                <w:sz w:val="20"/>
                <w:szCs w:val="20"/>
                <w:lang w:val="uz-Cyrl-UZ"/>
              </w:rPr>
              <w:t>(Qonunchilik hujjatlariga</w:t>
            </w:r>
            <w:r w:rsidRPr="00E01270">
              <w:rPr>
                <w:i/>
                <w:iCs/>
                <w:sz w:val="20"/>
                <w:szCs w:val="20"/>
                <w:lang w:val="uz-Latn-UZ"/>
              </w:rPr>
              <w:t xml:space="preserve"> kiritilgan </w:t>
            </w:r>
            <w:r w:rsidRPr="00E01270">
              <w:rPr>
                <w:i/>
                <w:iCs/>
                <w:sz w:val="20"/>
                <w:szCs w:val="20"/>
                <w:lang w:val="uz-Cyrl-UZ"/>
              </w:rPr>
              <w:t>tegishli o‘zgartirish va qo‘shimchalar amalda kuchga kiritilganidan so‘ng ushbu masala keyingi aksiyadorlar umumiy yig‘ilishi kun tartibiga qoldirish taklif qilindi va ovozga qo‘yildi)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79623" w14:textId="0DB1C11D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7BB57" w14:textId="4C19C398" w:rsidR="00140B0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AF7C3" w14:textId="4373D4F8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9FB0AF" w14:textId="4DBDF3A0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49EFEE" w14:textId="0B38308C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866CCF" w14:textId="05AB2229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5D0B83" w14:paraId="21194C4D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AD28F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C74F0" w14:textId="37FADEF9" w:rsidR="00140B00" w:rsidRPr="00140B00" w:rsidRDefault="00140B00" w:rsidP="00140B00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7.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36153" w14:textId="77777777" w:rsidR="00140B0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lang w:val="uz-Latn-UZ"/>
              </w:rPr>
              <w:t>Bankning yangi faoliyatini yo‘lga qo‘yish va ushbu faoliyat yuzasidan yangi kollegial organni tashkil etish.</w:t>
            </w:r>
          </w:p>
          <w:p w14:paraId="750F15D8" w14:textId="00E994A2" w:rsidR="00E01270" w:rsidRPr="00140B0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i/>
                <w:iCs/>
                <w:sz w:val="20"/>
                <w:szCs w:val="20"/>
                <w:lang w:val="uz-Cyrl-UZ"/>
              </w:rPr>
              <w:t>(Qonunchilik hujjatlariga</w:t>
            </w:r>
            <w:r w:rsidRPr="00E01270">
              <w:rPr>
                <w:i/>
                <w:iCs/>
                <w:sz w:val="20"/>
                <w:szCs w:val="20"/>
                <w:lang w:val="uz-Latn-UZ"/>
              </w:rPr>
              <w:t xml:space="preserve"> kiritilgan </w:t>
            </w:r>
            <w:r w:rsidRPr="00E01270">
              <w:rPr>
                <w:i/>
                <w:iCs/>
                <w:sz w:val="20"/>
                <w:szCs w:val="20"/>
                <w:lang w:val="uz-Cyrl-UZ"/>
              </w:rPr>
              <w:t>tegishli o‘zgartirish va qo‘shimchalar amalda kuchga kiritilganidan so‘ng ushbu masala keyingi aksiyadorlar umumiy yig‘ilishi kun tartibiga qoldirish taklif qilindi va ovozga qo‘yildi)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5E692" w14:textId="52EF57BB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2B467A" w14:textId="464EF839" w:rsidR="00140B0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BB58D" w14:textId="0478876A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B0A608" w14:textId="1EEF9A18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DE6981" w14:textId="68F7411D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826995" w14:textId="7089F0CA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E01270" w:rsidRPr="005D0B83" w14:paraId="2F315A3A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30C81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37C50" w14:textId="3EE8B73D" w:rsidR="00E01270" w:rsidRPr="00140B00" w:rsidRDefault="00E01270" w:rsidP="00140B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8.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A5869" w14:textId="77777777" w:rsidR="00E0127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lang w:val="uz-Latn-UZ"/>
              </w:rPr>
              <w:t>Bankning tashkil etiladigan yangi kollegial organi a’zolarini saylash.</w:t>
            </w:r>
          </w:p>
          <w:p w14:paraId="497505E5" w14:textId="4FCE5EF7" w:rsidR="00E01270" w:rsidRPr="00140B0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i/>
                <w:iCs/>
                <w:sz w:val="20"/>
                <w:szCs w:val="20"/>
                <w:lang w:val="uz-Cyrl-UZ"/>
              </w:rPr>
              <w:t>(Qonunchilik hujjatlariga</w:t>
            </w:r>
            <w:r w:rsidRPr="00E01270">
              <w:rPr>
                <w:i/>
                <w:iCs/>
                <w:sz w:val="20"/>
                <w:szCs w:val="20"/>
                <w:lang w:val="uz-Latn-UZ"/>
              </w:rPr>
              <w:t xml:space="preserve"> kiritilgan </w:t>
            </w:r>
            <w:r w:rsidRPr="00E01270">
              <w:rPr>
                <w:i/>
                <w:iCs/>
                <w:sz w:val="20"/>
                <w:szCs w:val="20"/>
                <w:lang w:val="uz-Cyrl-UZ"/>
              </w:rPr>
              <w:t>tegishli o‘zgartirish va qo‘shimchalar amalda kuchga kiritilganidan so‘ng ushbu masala keyingi aksiyadorlar umumiy yig‘ilishi kun tartibiga qoldirish taklif qilindi va ovozga qo‘yildi)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FED32" w14:textId="15F9ABB8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EB6A2F" w14:textId="5E958443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570CD" w14:textId="24726AEB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D55F9C" w14:textId="547C91B6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C1B652" w14:textId="49EED2E0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7C28AD" w14:textId="6A1CBA75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0</w:t>
            </w:r>
          </w:p>
        </w:tc>
      </w:tr>
      <w:tr w:rsidR="00E01270" w:rsidRPr="005D0B83" w14:paraId="269BF96B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4A333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59E10" w14:textId="6CFF3FFD" w:rsidR="00E01270" w:rsidRPr="00140B00" w:rsidRDefault="00E01270" w:rsidP="00140B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9.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08562" w14:textId="77777777" w:rsidR="00E0127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lang w:val="uz-Latn-UZ"/>
              </w:rPr>
              <w:t>Bankning tashkil etiladigan yangi kollegial organi nizomini tasdiqlash.</w:t>
            </w:r>
          </w:p>
          <w:p w14:paraId="132DB10B" w14:textId="4549BA39" w:rsidR="00E01270" w:rsidRPr="00140B0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i/>
                <w:iCs/>
                <w:sz w:val="20"/>
                <w:szCs w:val="20"/>
                <w:lang w:val="uz-Cyrl-UZ"/>
              </w:rPr>
              <w:t>(Qonunchilik hujjatlariga</w:t>
            </w:r>
            <w:r w:rsidRPr="00E01270">
              <w:rPr>
                <w:i/>
                <w:iCs/>
                <w:sz w:val="20"/>
                <w:szCs w:val="20"/>
                <w:lang w:val="uz-Latn-UZ"/>
              </w:rPr>
              <w:t xml:space="preserve"> kiritilgan </w:t>
            </w:r>
            <w:r w:rsidRPr="00E01270">
              <w:rPr>
                <w:i/>
                <w:iCs/>
                <w:sz w:val="20"/>
                <w:szCs w:val="20"/>
                <w:lang w:val="uz-Cyrl-UZ"/>
              </w:rPr>
              <w:t>tegishli o‘zgartirish va qo‘shimchalar amalda kuchga kiritilganidan so‘ng ushbu masala keyingi aksiyadorlar umumiy yig‘ilishi kun tartibiga qoldirish taklif qilindi va ovozga qo‘yildi)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DB5AE" w14:textId="2D82ABF2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5FC760" w14:textId="28FFEB36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708EAF" w14:textId="090B254E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1E9D20" w14:textId="0BA2D245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EAE64" w14:textId="006945A3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F4FD08" w14:textId="61A123E7" w:rsidR="00E0127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5D0B83" w14:paraId="09146586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C0753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1DE10" w14:textId="34239DF7" w:rsidR="00140B00" w:rsidRPr="00140B00" w:rsidRDefault="00E01270" w:rsidP="00140B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10</w:t>
            </w:r>
            <w:r w:rsidR="00140B00" w:rsidRPr="00140B00">
              <w:rPr>
                <w:lang w:val="uz-Latn-UZ"/>
              </w:rPr>
              <w:t>.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F9F9D" w14:textId="77777777" w:rsidR="00140B0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lang w:val="uz-Latn-UZ"/>
              </w:rPr>
              <w:t>Bankning yangi tashkiliy tuzilmasini tasdiqlash.</w:t>
            </w:r>
          </w:p>
          <w:p w14:paraId="2AE0B64C" w14:textId="303B109E" w:rsidR="00E01270" w:rsidRPr="00140B00" w:rsidRDefault="00E01270" w:rsidP="00140B00">
            <w:pPr>
              <w:jc w:val="center"/>
              <w:rPr>
                <w:lang w:val="uz-Latn-UZ"/>
              </w:rPr>
            </w:pPr>
            <w:r w:rsidRPr="00E01270">
              <w:rPr>
                <w:i/>
                <w:iCs/>
                <w:sz w:val="20"/>
                <w:szCs w:val="20"/>
                <w:lang w:val="uz-Cyrl-UZ"/>
              </w:rPr>
              <w:t>(Qonunchilik hujjatlariga</w:t>
            </w:r>
            <w:r w:rsidRPr="00E01270">
              <w:rPr>
                <w:i/>
                <w:iCs/>
                <w:sz w:val="20"/>
                <w:szCs w:val="20"/>
                <w:lang w:val="uz-Latn-UZ"/>
              </w:rPr>
              <w:t xml:space="preserve"> kiritilgan </w:t>
            </w:r>
            <w:r w:rsidRPr="00E01270">
              <w:rPr>
                <w:i/>
                <w:iCs/>
                <w:sz w:val="20"/>
                <w:szCs w:val="20"/>
                <w:lang w:val="uz-Cyrl-UZ"/>
              </w:rPr>
              <w:t>tegishli o‘zgartirish va qo‘shimchalar amalda kuchga kiritilganidan so‘ng ushbu masala keyingi aksiyadorlar umumiy yig‘ilishi kun tartibiga qoldirish taklif qilindi va ovozga qo‘yildi)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E5B14" w14:textId="5A21A559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8BD18" w14:textId="037E4F39" w:rsidR="00140B00" w:rsidRPr="00140B00" w:rsidRDefault="00E01270" w:rsidP="00140B00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3B2FB6" w14:textId="3413A3DC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A24BD4" w14:textId="46C23C15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4407BD" w14:textId="08399068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E9C417" w14:textId="0E27EE75" w:rsidR="00140B00" w:rsidRPr="00140B00" w:rsidRDefault="00140B00" w:rsidP="00140B00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E01270" w14:paraId="468A27F8" w14:textId="77777777" w:rsidTr="00E01270">
        <w:trPr>
          <w:trHeight w:val="478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75286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59CB9" w14:textId="0C30EB1C" w:rsidR="00140B00" w:rsidRPr="005D0B83" w:rsidRDefault="00140B00" w:rsidP="00140B00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Umumiy yig‘ilish tomonidan qabul qilingan qarorlarning tо‘liq bayoni:</w:t>
            </w:r>
          </w:p>
        </w:tc>
      </w:tr>
      <w:tr w:rsidR="00140B00" w:rsidRPr="00E01270" w14:paraId="15F008CE" w14:textId="77777777" w:rsidTr="00E01270">
        <w:trPr>
          <w:trHeight w:val="48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28DE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899F9" w14:textId="77777777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1.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E8ABD" w14:textId="77777777" w:rsidR="00E01270" w:rsidRPr="00E01270" w:rsidRDefault="00E01270" w:rsidP="00E0127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Bankning sanoq komissiyasi a’zolari soni uch kishidan iborat bo‘lsin va quyidagi tarkibda tasdiqlansin:</w:t>
            </w:r>
          </w:p>
          <w:p w14:paraId="184D6654" w14:textId="77777777" w:rsidR="00E01270" w:rsidRPr="00E01270" w:rsidRDefault="00E01270" w:rsidP="00E0127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Napasov Bunyodbek Rashidbek o‘g‘li – “Open bank” aksiyadorlik jamiyati Yuridik boshqarmasi bo‘lim boshlig‘i, komissiya raisi;</w:t>
            </w:r>
          </w:p>
          <w:p w14:paraId="6C5B6D0B" w14:textId="77777777" w:rsidR="00E01270" w:rsidRPr="00E01270" w:rsidRDefault="00E01270" w:rsidP="00E0127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Salomov Sardor Fozil o‘g‘li – “Open bank” aksiyadorlik jamiyati Korporativ biznes boshqarmasi bosh menejeri, komissiya a’zosi;</w:t>
            </w:r>
          </w:p>
          <w:p w14:paraId="3EEC9A80" w14:textId="0A73389C" w:rsidR="00140B00" w:rsidRPr="005D0B83" w:rsidRDefault="00E01270" w:rsidP="00E0127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Inomov Ilyosbek Ixvoljon o‘g‘li – “Open bank” aksiyadorlik jamiyati Bank apparati etakchi menejeri, komissiya a’zosi.</w:t>
            </w:r>
          </w:p>
        </w:tc>
      </w:tr>
      <w:tr w:rsidR="00140B00" w:rsidRPr="00E01270" w14:paraId="54DF1631" w14:textId="77777777" w:rsidTr="00E01270">
        <w:trPr>
          <w:trHeight w:val="681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EFC37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E9EBA" w14:textId="25075F9F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2.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4C5B9" w14:textId="07C00FDC" w:rsidR="00E01270" w:rsidRPr="00E01270" w:rsidRDefault="00E01270" w:rsidP="00E0127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Aksiyadorlarning navbatdan tashqari umumiy yig‘ilishi reglamenti tasdiqlansin va u quyidagi tartibda tashkil etilsin:</w:t>
            </w:r>
          </w:p>
          <w:p w14:paraId="0A023EB9" w14:textId="77777777" w:rsidR="00E01270" w:rsidRPr="00E01270" w:rsidRDefault="00E01270" w:rsidP="00E0127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ma’ruzalar uchun 15 daqiqagacha vaqt ajratilishi;</w:t>
            </w:r>
          </w:p>
          <w:p w14:paraId="1A56F92C" w14:textId="132D03FF" w:rsidR="00140B00" w:rsidRPr="00140B00" w:rsidRDefault="00E01270" w:rsidP="00E0127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muhokama va muzokaralar, shuningdek ovoz berish uchun 10 daqiqagacha vaqt ajratilishi.</w:t>
            </w:r>
            <w:r w:rsidR="00140B00" w:rsidRPr="00140B00">
              <w:rPr>
                <w:rFonts w:eastAsia="Times New Roman"/>
                <w:lang w:val="uz-Latn-UZ"/>
              </w:rPr>
              <w:t>ksiyadorlarning navbatdan tashqari umumiy yig‘ilishi reglamenti tasdiqlansin va u quyidagi tartibda tashkil etilsin:</w:t>
            </w:r>
          </w:p>
          <w:p w14:paraId="15A1D1D9" w14:textId="77777777" w:rsidR="00140B00" w:rsidRPr="00140B00" w:rsidRDefault="00140B00" w:rsidP="00140B00">
            <w:pPr>
              <w:jc w:val="both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ma’ruzalar uchun 15 daqiqagacha vaqt ajratilishi;</w:t>
            </w:r>
          </w:p>
          <w:p w14:paraId="5C0C09C1" w14:textId="12C5BE29" w:rsidR="00140B00" w:rsidRPr="005D0B83" w:rsidRDefault="00140B00" w:rsidP="00140B00">
            <w:pPr>
              <w:jc w:val="both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muhokama va muzokaralar, shuningdek ovoz berish uchun 10 daqiqagacha vaqt ajratilishi.</w:t>
            </w:r>
          </w:p>
        </w:tc>
      </w:tr>
      <w:tr w:rsidR="00140B00" w:rsidRPr="00E01270" w14:paraId="36A93C52" w14:textId="77777777" w:rsidTr="00E01270">
        <w:trPr>
          <w:trHeight w:val="315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FB022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4C98A" w14:textId="74E30A7F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3.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48E06" w14:textId="5894E41B" w:rsidR="00140B00" w:rsidRPr="005D0B83" w:rsidRDefault="00E01270" w:rsidP="00053E18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Nikitin Lev Leonidovichning bank Kuzatuv kengashi a’zoligidagi vakolati muddatidan oldin tugatilsin hamda Kuzatuv kengashi tarkibidan chiqarilsin va ushbu haqda O‘zbekiston Respublikasi Markaziy banki belgilangan tartibda xabardor qilinsin.</w:t>
            </w:r>
          </w:p>
        </w:tc>
      </w:tr>
      <w:tr w:rsidR="00140B00" w:rsidRPr="00E01270" w14:paraId="77561198" w14:textId="77777777" w:rsidTr="00E01270">
        <w:trPr>
          <w:trHeight w:val="688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E7452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12B14" w14:textId="239309DD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4.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440C8" w14:textId="0853FE91" w:rsidR="00140B00" w:rsidRPr="005D0B83" w:rsidRDefault="00E01270" w:rsidP="00140B0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Maxmudov Isroil Ismailovich bank Kuzatuv kengashi a’zoligiga uch yil muddatga saylansin va uning nomzodi O‘zbekiston Respublikasi Markaziy banki bilan kelishilganidan so‘ng bank Kuzatuv kengashi a’zosi vazifalarini bajarishga kirishsin.</w:t>
            </w:r>
          </w:p>
        </w:tc>
      </w:tr>
      <w:tr w:rsidR="00140B00" w:rsidRPr="00E01270" w14:paraId="4E742E6A" w14:textId="77777777" w:rsidTr="00E01270">
        <w:trPr>
          <w:trHeight w:val="557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A1402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E750E" w14:textId="65BF6D3F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5.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D7C3D" w14:textId="4EFA429B" w:rsidR="00140B00" w:rsidRPr="005D0B83" w:rsidRDefault="00E01270" w:rsidP="00140B0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Bank Boshqaruvining raqamlashtirish bo‘yicha ilovaga mufoviq hisoboti ma’qullansin va tasdiqlansin.</w:t>
            </w:r>
          </w:p>
        </w:tc>
      </w:tr>
      <w:tr w:rsidR="00140B00" w:rsidRPr="00E01270" w14:paraId="184D481D" w14:textId="77777777" w:rsidTr="00E01270">
        <w:trPr>
          <w:trHeight w:val="311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F5608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43B88" w14:textId="4DB50934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6.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CCD4F" w14:textId="2B85D903" w:rsidR="00140B00" w:rsidRPr="005D0B83" w:rsidRDefault="00E01270" w:rsidP="00140B0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Kun tartibidagi oltinchi masala O‘zbekiston Respublikasining amaldagi qonunchilik hujjatlariga kiritilgan tegishli o‘zgartirish va qo‘shimchalar amalda kuchga kiritilganidan so‘ng keyingi Aksiyadorlarning navbatdan tashqari umumiy yig‘ilishi kun tartibiga qoldirilsin.</w:t>
            </w:r>
          </w:p>
        </w:tc>
      </w:tr>
      <w:tr w:rsidR="00140B00" w:rsidRPr="00E01270" w14:paraId="23296461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D4D1D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43AF6" w14:textId="64FFEEA3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7.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6B8B9" w14:textId="2564EEEE" w:rsidR="00140B00" w:rsidRPr="005D0B83" w:rsidRDefault="00E01270" w:rsidP="00140B0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Kun tartibidagi yettinchi masala O‘zbekiston Respublikasining amaldagi qonunchilik hujjatlariga kiritilgan tegishli o‘zgartirish va qo‘shimchalar amalda kuchga kiritilganidan so‘ng keyingi Aksiyadorlarning navbatdan tashqari umumiy yig‘ilishi kun tartibiga qoldirilsin.</w:t>
            </w:r>
          </w:p>
        </w:tc>
      </w:tr>
      <w:tr w:rsidR="00140B00" w:rsidRPr="00E01270" w14:paraId="384B6BB5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9BCA2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64F52" w14:textId="452E8930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8.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DC6AA" w14:textId="76742EAB" w:rsidR="00140B00" w:rsidRPr="005D0B83" w:rsidRDefault="00E01270" w:rsidP="00140B0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Kun tartibidagi sakkizinchi masala O‘zbekiston Respublikasining amaldagi qonunchilik hujjatlariga kiritilgan tegishli o‘zgartirish va qo‘shimchalar amalda kuchga kiritilganidan so‘ng keyingi Aksiyadorlarning navbatdan tashqari umumiy yig‘ilishi kun tartibiga qoldirilsin.</w:t>
            </w:r>
          </w:p>
        </w:tc>
      </w:tr>
      <w:tr w:rsidR="00E01270" w:rsidRPr="00E01270" w14:paraId="54798654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60DDC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5E07" w14:textId="3F98377F" w:rsidR="00E01270" w:rsidRPr="005D0B83" w:rsidRDefault="00E01270" w:rsidP="00140B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9.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A19B8" w14:textId="751AD22E" w:rsidR="00E01270" w:rsidRPr="00E01270" w:rsidRDefault="00E01270" w:rsidP="00140B0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Kun tartibidagi to‘qqizinchi masala O‘zbekiston Respublikasining amaldagi qonunchilik hujjatlariga kiritilgan tegishli o‘zgartirish va qo‘shimchalar amalda kuchga kiritilganidan so‘ng keyingi Aksiyadorlarning navbatdan tashqari umumiy yig‘ilishi kun tartibiga qoldirilsin.</w:t>
            </w:r>
          </w:p>
        </w:tc>
      </w:tr>
      <w:tr w:rsidR="00E01270" w:rsidRPr="00E01270" w14:paraId="728FA2BE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17AA2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A7C5C" w14:textId="69CBBC37" w:rsidR="00E01270" w:rsidRPr="005D0B83" w:rsidRDefault="00E01270" w:rsidP="00140B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10.</w:t>
            </w:r>
          </w:p>
        </w:tc>
        <w:tc>
          <w:tcPr>
            <w:tcW w:w="966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1914B" w14:textId="30EBEEDA" w:rsidR="00E01270" w:rsidRPr="00E01270" w:rsidRDefault="00E01270" w:rsidP="00140B00">
            <w:pPr>
              <w:jc w:val="both"/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Kun tartibidagi o‘ninchi masala O‘zbekiston Respublikasining amaldagi qonunchilik hujjatlariga kiritilgan tegishli o‘zgartirish va qo‘shimchalar amalda kuchga kiritilganidan so‘ng keyingi Aksiyadorlarning navbatdan tashqari umumiy yig‘ilishi kun tartibiga qoldirilsin.</w:t>
            </w:r>
          </w:p>
        </w:tc>
      </w:tr>
      <w:tr w:rsidR="00140B00" w:rsidRPr="00E01270" w14:paraId="2EBBCA9E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934DC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93B9" w14:textId="75BE2CCB" w:rsidR="00140B00" w:rsidRPr="005D0B83" w:rsidRDefault="00140B00" w:rsidP="00140B00">
            <w:pPr>
              <w:rPr>
                <w:rFonts w:eastAsia="Times New Roman"/>
                <w:lang w:val="uz-Latn-UZ"/>
              </w:rPr>
            </w:pPr>
            <w:r w:rsidRPr="005D0B83">
              <w:rPr>
                <w:rFonts w:eastAsia="Times New Roman"/>
                <w:lang w:val="uz-Latn-UZ"/>
              </w:rPr>
              <w:t>Emitentning ijroiya organi, kuzatuv kengashi va taftish komissiyasi a’zolari foydasiga hisoblangan va tо‘langan haq va (yoki) kompensatsiyalar ***</w:t>
            </w:r>
          </w:p>
        </w:tc>
      </w:tr>
      <w:tr w:rsidR="00E01270" w:rsidRPr="00E01270" w14:paraId="568509BD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AE33B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BF865" w14:textId="41B7CCD5" w:rsidR="00E01270" w:rsidRPr="005D0B83" w:rsidRDefault="00E01270" w:rsidP="00140B00">
            <w:pPr>
              <w:rPr>
                <w:rFonts w:eastAsia="Times New Roman"/>
                <w:lang w:val="uz-Latn-UZ"/>
              </w:rPr>
            </w:pPr>
            <w:r w:rsidRPr="00E01270">
              <w:rPr>
                <w:rFonts w:eastAsia="Times New Roman"/>
                <w:lang w:val="uz-Latn-UZ"/>
              </w:rPr>
              <w:t>К</w:t>
            </w:r>
            <w:r w:rsidR="00E656DC">
              <w:rPr>
                <w:rFonts w:eastAsia="Times New Roman"/>
                <w:lang w:val="uz-Latn-UZ"/>
              </w:rPr>
              <w:t>u</w:t>
            </w:r>
            <w:r>
              <w:rPr>
                <w:rFonts w:eastAsia="Times New Roman"/>
                <w:lang w:val="uz-Latn-UZ"/>
              </w:rPr>
              <w:t>zatuv</w:t>
            </w:r>
            <w:r w:rsidRPr="00E01270">
              <w:rPr>
                <w:rFonts w:eastAsia="Times New Roman"/>
                <w:lang w:val="uz-Latn-UZ"/>
              </w:rPr>
              <w:t xml:space="preserve"> </w:t>
            </w:r>
            <w:r>
              <w:rPr>
                <w:rFonts w:eastAsia="Times New Roman"/>
                <w:lang w:val="uz-Latn-UZ"/>
              </w:rPr>
              <w:t>kengashi</w:t>
            </w:r>
            <w:r w:rsidRPr="00E01270">
              <w:rPr>
                <w:rFonts w:eastAsia="Times New Roman"/>
                <w:lang w:val="uz-Latn-UZ"/>
              </w:rPr>
              <w:t xml:space="preserve"> </w:t>
            </w:r>
            <w:r>
              <w:rPr>
                <w:rFonts w:eastAsia="Times New Roman"/>
                <w:lang w:val="uz-Latn-UZ"/>
              </w:rPr>
              <w:t>a’zolarini</w:t>
            </w:r>
            <w:r w:rsidRPr="00E01270">
              <w:rPr>
                <w:rFonts w:eastAsia="Times New Roman"/>
                <w:lang w:val="uz-Latn-UZ"/>
              </w:rPr>
              <w:t xml:space="preserve"> </w:t>
            </w:r>
            <w:r>
              <w:rPr>
                <w:rFonts w:eastAsia="Times New Roman"/>
                <w:lang w:val="uz-Latn-UZ"/>
              </w:rPr>
              <w:t>saylash</w:t>
            </w:r>
            <w:r w:rsidRPr="00E01270">
              <w:rPr>
                <w:rFonts w:eastAsia="Times New Roman"/>
                <w:lang w:val="uz-Latn-UZ"/>
              </w:rPr>
              <w:t>:</w:t>
            </w:r>
          </w:p>
        </w:tc>
      </w:tr>
      <w:tr w:rsidR="00E01270" w:rsidRPr="00E01270" w14:paraId="58B64773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AAAD8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8CDA6" w14:textId="2E50F3CC" w:rsidR="00E01270" w:rsidRPr="00E01270" w:rsidRDefault="00E01270" w:rsidP="00140B00">
            <w:pPr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Kandidatlar</w:t>
            </w:r>
            <w:r w:rsidRPr="00E01270">
              <w:rPr>
                <w:rFonts w:eastAsia="Times New Roman"/>
                <w:lang w:val="uz-Latn-UZ"/>
              </w:rPr>
              <w:t xml:space="preserve"> </w:t>
            </w:r>
            <w:r>
              <w:rPr>
                <w:rFonts w:eastAsia="Times New Roman"/>
                <w:lang w:val="uz-Latn-UZ"/>
              </w:rPr>
              <w:t>tо‘g‘risida</w:t>
            </w:r>
            <w:r w:rsidRPr="00E01270">
              <w:rPr>
                <w:rFonts w:eastAsia="Times New Roman"/>
                <w:lang w:val="uz-Latn-UZ"/>
              </w:rPr>
              <w:t xml:space="preserve"> </w:t>
            </w:r>
            <w:r>
              <w:rPr>
                <w:rFonts w:eastAsia="Times New Roman"/>
                <w:lang w:val="uz-Latn-UZ"/>
              </w:rPr>
              <w:t>ma’lumot</w:t>
            </w:r>
          </w:p>
        </w:tc>
      </w:tr>
      <w:tr w:rsidR="00E01270" w:rsidRPr="00E01270" w14:paraId="755E1C66" w14:textId="77777777" w:rsidTr="00AC3DE7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F238B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063E5" w14:textId="65FFA83E" w:rsidR="00E01270" w:rsidRPr="00E656DC" w:rsidRDefault="00E01270" w:rsidP="00E0127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</w:pPr>
            <w:r w:rsidRPr="00E656DC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183537D7" w14:textId="1C72581E" w:rsidR="00E01270" w:rsidRPr="00E656DC" w:rsidRDefault="00E01270" w:rsidP="00E0127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  <w:t>F.I.O.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4CABEFF2" w14:textId="50B98916" w:rsidR="00E01270" w:rsidRPr="00E656DC" w:rsidRDefault="00E01270" w:rsidP="00E0127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  <w:t>Ish joyi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B2103A2" w14:textId="664F2BFA" w:rsidR="00E01270" w:rsidRPr="00E656DC" w:rsidRDefault="00E01270" w:rsidP="00E0127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  <w:t>Lavozimi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54D32" w14:textId="46DCFC99" w:rsidR="00E01270" w:rsidRPr="00E656DC" w:rsidRDefault="00E01270" w:rsidP="00E0127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  <w:t>Tegishli aksiyalar</w:t>
            </w:r>
          </w:p>
        </w:tc>
        <w:tc>
          <w:tcPr>
            <w:tcW w:w="168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F337D62" w14:textId="786CD51C" w:rsidR="00E01270" w:rsidRPr="00E656DC" w:rsidRDefault="00E01270" w:rsidP="00E0127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  <w:t>Ovozlar soni</w:t>
            </w:r>
          </w:p>
        </w:tc>
      </w:tr>
      <w:tr w:rsidR="00E01270" w:rsidRPr="00E01270" w14:paraId="5DD0B92B" w14:textId="77777777" w:rsidTr="00AC3DE7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3F855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A9FA9" w14:textId="77777777" w:rsidR="00E01270" w:rsidRDefault="00E01270" w:rsidP="00140B00">
            <w:pPr>
              <w:rPr>
                <w:rFonts w:eastAsia="Times New Roman"/>
                <w:lang w:val="uz-Cyrl-UZ"/>
              </w:rPr>
            </w:pPr>
          </w:p>
        </w:tc>
        <w:tc>
          <w:tcPr>
            <w:tcW w:w="29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0BD483" w14:textId="77777777" w:rsidR="00E01270" w:rsidRDefault="00E01270" w:rsidP="00140B00">
            <w:pPr>
              <w:rPr>
                <w:rFonts w:eastAsia="Times New Roman"/>
                <w:lang w:val="uz-Latn-UZ"/>
              </w:rPr>
            </w:pPr>
          </w:p>
        </w:tc>
        <w:tc>
          <w:tcPr>
            <w:tcW w:w="16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E46F52" w14:textId="77777777" w:rsidR="00E01270" w:rsidRDefault="00E01270" w:rsidP="00140B00">
            <w:pPr>
              <w:rPr>
                <w:rFonts w:eastAsia="Times New Roman"/>
                <w:lang w:val="uz-Latn-UZ"/>
              </w:rPr>
            </w:pPr>
          </w:p>
        </w:tc>
        <w:tc>
          <w:tcPr>
            <w:tcW w:w="168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8F6C70" w14:textId="77777777" w:rsidR="00E01270" w:rsidRDefault="00E01270" w:rsidP="00140B00">
            <w:pPr>
              <w:rPr>
                <w:rFonts w:eastAsia="Times New Roman"/>
                <w:lang w:val="uz-Latn-U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A50AD1" w14:textId="7AA3E089" w:rsidR="00E01270" w:rsidRPr="00E656DC" w:rsidRDefault="00E01270" w:rsidP="00E0127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  <w:t>turi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3FE1C1" w14:textId="4629CF5B" w:rsidR="00E01270" w:rsidRPr="00E656DC" w:rsidRDefault="00E01270" w:rsidP="00E0127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b/>
                <w:bCs/>
                <w:sz w:val="20"/>
                <w:szCs w:val="20"/>
                <w:lang w:val="uz-Latn-UZ"/>
              </w:rPr>
              <w:t>soni</w:t>
            </w:r>
          </w:p>
        </w:tc>
        <w:tc>
          <w:tcPr>
            <w:tcW w:w="168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44D28" w14:textId="77777777" w:rsidR="00E01270" w:rsidRDefault="00E01270" w:rsidP="00140B00">
            <w:pPr>
              <w:rPr>
                <w:rFonts w:eastAsia="Times New Roman"/>
                <w:lang w:val="uz-Latn-UZ"/>
              </w:rPr>
            </w:pPr>
          </w:p>
        </w:tc>
      </w:tr>
      <w:tr w:rsidR="00E01270" w:rsidRPr="00E01270" w14:paraId="357BCEEC" w14:textId="77777777" w:rsidTr="00662CD7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05962" w14:textId="77777777" w:rsidR="00E01270" w:rsidRPr="005D0B83" w:rsidRDefault="00E0127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1DC92" w14:textId="1CC18731" w:rsidR="00E01270" w:rsidRPr="00E656DC" w:rsidRDefault="00E656DC" w:rsidP="00E656DC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sz w:val="20"/>
                <w:szCs w:val="20"/>
                <w:lang w:val="uz-Latn-UZ"/>
              </w:rPr>
              <w:t>1.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0789F4" w14:textId="24665459" w:rsidR="00E01270" w:rsidRPr="00E656DC" w:rsidRDefault="00E656DC" w:rsidP="00E656DC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sz w:val="20"/>
                <w:szCs w:val="20"/>
                <w:lang w:val="uz-Latn-UZ"/>
              </w:rPr>
              <w:t>Maxmudov Isroil Ismailovich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444955" w14:textId="0716B37B" w:rsidR="00E01270" w:rsidRPr="00E656DC" w:rsidRDefault="00E656DC" w:rsidP="00E656DC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sz w:val="20"/>
                <w:szCs w:val="20"/>
                <w:lang w:val="uz-Latn-UZ"/>
              </w:rPr>
              <w:t xml:space="preserve">“Future open technology group” </w:t>
            </w:r>
            <w:r w:rsidRPr="00E656DC">
              <w:rPr>
                <w:rFonts w:eastAsia="Times New Roman"/>
                <w:sz w:val="20"/>
                <w:szCs w:val="20"/>
                <w:lang w:val="uz-Latn-UZ"/>
              </w:rPr>
              <w:t>AJ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BE06BC" w14:textId="2E502E81" w:rsidR="00E01270" w:rsidRPr="00E656DC" w:rsidRDefault="00E656DC" w:rsidP="00E656DC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sz w:val="20"/>
                <w:szCs w:val="20"/>
                <w:lang w:val="uz-Latn-UZ"/>
              </w:rPr>
              <w:t>direktor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1557BB" w14:textId="4356B9D4" w:rsidR="00E01270" w:rsidRPr="00E656DC" w:rsidRDefault="00E656DC" w:rsidP="00E656DC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sz w:val="20"/>
                <w:szCs w:val="20"/>
                <w:lang w:val="uz-Latn-UZ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36E0A" w14:textId="7123D6B3" w:rsidR="00E01270" w:rsidRPr="00E656DC" w:rsidRDefault="00E656DC" w:rsidP="00E656DC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E656DC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312596" w14:textId="77777777" w:rsidR="00E01270" w:rsidRPr="00E656DC" w:rsidRDefault="00E01270" w:rsidP="00E656DC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  <w:tr w:rsidR="00140B00" w:rsidRPr="00E01270" w14:paraId="746DCD63" w14:textId="77777777" w:rsidTr="00E01270">
        <w:trPr>
          <w:trHeight w:val="343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EDE55C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4DF0D" w14:textId="489F7B54" w:rsidR="00140B00" w:rsidRPr="005D0B83" w:rsidRDefault="00140B00" w:rsidP="00140B00">
            <w:pPr>
              <w:rPr>
                <w:lang w:val="uz-Latn-UZ"/>
              </w:rPr>
            </w:pPr>
            <w:r w:rsidRPr="005D0B83">
              <w:rPr>
                <w:rFonts w:eastAsia="Times New Roman"/>
                <w:lang w:val="uz-Latn-UZ"/>
              </w:rPr>
              <w:t>Ustavga kiritila</w:t>
            </w:r>
            <w:r w:rsidR="00E01270">
              <w:rPr>
                <w:rFonts w:eastAsia="Times New Roman"/>
                <w:lang w:val="uz-Latn-UZ"/>
              </w:rPr>
              <w:t>yot</w:t>
            </w:r>
            <w:r w:rsidRPr="005D0B83">
              <w:rPr>
                <w:rFonts w:eastAsia="Times New Roman"/>
                <w:lang w:val="uz-Latn-UZ"/>
              </w:rPr>
              <w:t>gan o‘zgartirish va (</w:t>
            </w:r>
            <w:r w:rsidR="00E01270">
              <w:rPr>
                <w:rFonts w:eastAsia="Times New Roman"/>
                <w:lang w:val="uz-Latn-UZ"/>
              </w:rPr>
              <w:t>yok</w:t>
            </w:r>
            <w:r w:rsidRPr="005D0B83">
              <w:rPr>
                <w:rFonts w:eastAsia="Times New Roman"/>
                <w:lang w:val="uz-Latn-UZ"/>
              </w:rPr>
              <w:t>i) qo‘</w:t>
            </w:r>
            <w:r w:rsidR="00E01270">
              <w:rPr>
                <w:rFonts w:eastAsia="Times New Roman"/>
                <w:lang w:val="uz-Latn-UZ"/>
              </w:rPr>
              <w:t>shi</w:t>
            </w:r>
            <w:r w:rsidRPr="005D0B83">
              <w:rPr>
                <w:rFonts w:eastAsia="Times New Roman"/>
                <w:lang w:val="uz-Latn-UZ"/>
              </w:rPr>
              <w:t>m</w:t>
            </w:r>
            <w:r w:rsidR="00E01270">
              <w:rPr>
                <w:rFonts w:eastAsia="Times New Roman"/>
                <w:lang w:val="uz-Latn-UZ"/>
              </w:rPr>
              <w:t>cha</w:t>
            </w:r>
            <w:r w:rsidRPr="005D0B83">
              <w:rPr>
                <w:rFonts w:eastAsia="Times New Roman"/>
                <w:lang w:val="uz-Latn-UZ"/>
              </w:rPr>
              <w:t>larning matni**</w:t>
            </w:r>
          </w:p>
        </w:tc>
      </w:tr>
      <w:tr w:rsidR="00140B00" w:rsidRPr="005D0B83" w14:paraId="6247AF77" w14:textId="77777777" w:rsidTr="00E01270">
        <w:trPr>
          <w:trHeight w:val="655"/>
          <w:jc w:val="center"/>
        </w:trPr>
        <w:tc>
          <w:tcPr>
            <w:tcW w:w="7140" w:type="dxa"/>
            <w:gridSpan w:val="7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32573" w14:textId="77777777" w:rsidR="00140B00" w:rsidRPr="005D0B83" w:rsidRDefault="00140B00" w:rsidP="00140B00">
            <w:pPr>
              <w:rPr>
                <w:lang w:val="uz-Latn-UZ"/>
              </w:rPr>
            </w:pPr>
          </w:p>
          <w:p w14:paraId="2C8AB1DA" w14:textId="72B7E56F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Ijroiya organi rahbarining F.I.SH.:</w:t>
            </w:r>
          </w:p>
        </w:tc>
        <w:tc>
          <w:tcPr>
            <w:tcW w:w="3364" w:type="dxa"/>
            <w:gridSpan w:val="7"/>
            <w:shd w:val="clear" w:color="auto" w:fill="FFFFFF"/>
          </w:tcPr>
          <w:p w14:paraId="0AF678B7" w14:textId="77777777" w:rsidR="00140B00" w:rsidRPr="005D0B83" w:rsidRDefault="00140B00" w:rsidP="00140B00">
            <w:pPr>
              <w:rPr>
                <w:lang w:val="uz-Latn-UZ"/>
              </w:rPr>
            </w:pPr>
          </w:p>
          <w:p w14:paraId="5BF5082E" w14:textId="2592A275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To‘ra</w:t>
            </w:r>
            <w:r w:rsidR="00E01270">
              <w:rPr>
                <w:lang w:val="uz-Latn-UZ"/>
              </w:rPr>
              <w:t>yev</w:t>
            </w:r>
            <w:r w:rsidRPr="005D0B83">
              <w:rPr>
                <w:lang w:val="uz-Latn-UZ"/>
              </w:rPr>
              <w:t xml:space="preserve"> Azamat </w:t>
            </w:r>
            <w:r w:rsidR="00E01270">
              <w:rPr>
                <w:lang w:val="uz-Latn-UZ"/>
              </w:rPr>
              <w:t>Shu</w:t>
            </w:r>
            <w:r w:rsidRPr="005D0B83">
              <w:rPr>
                <w:lang w:val="uz-Latn-UZ"/>
              </w:rPr>
              <w:t>xratovich</w:t>
            </w:r>
          </w:p>
        </w:tc>
      </w:tr>
      <w:tr w:rsidR="00140B00" w:rsidRPr="005D0B83" w14:paraId="4DA34CC4" w14:textId="77777777" w:rsidTr="00E01270">
        <w:trPr>
          <w:jc w:val="center"/>
        </w:trPr>
        <w:tc>
          <w:tcPr>
            <w:tcW w:w="7140" w:type="dxa"/>
            <w:gridSpan w:val="7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BA3D5" w14:textId="5334D357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Bosh buxgalterning F.I.SH.:</w:t>
            </w:r>
          </w:p>
        </w:tc>
        <w:tc>
          <w:tcPr>
            <w:tcW w:w="3364" w:type="dxa"/>
            <w:gridSpan w:val="7"/>
            <w:shd w:val="clear" w:color="auto" w:fill="FFFFFF"/>
          </w:tcPr>
          <w:p w14:paraId="1BE8D0E9" w14:textId="0AAC60D4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Utamurotov Odil To</w:t>
            </w:r>
            <w:r w:rsidR="00E01270">
              <w:rPr>
                <w:lang w:val="uz-Latn-UZ"/>
              </w:rPr>
              <w:t>shp</w:t>
            </w:r>
            <w:r w:rsidRPr="005D0B83">
              <w:rPr>
                <w:lang w:val="uz-Latn-UZ"/>
              </w:rPr>
              <w:t>ulotovich</w:t>
            </w:r>
          </w:p>
        </w:tc>
      </w:tr>
      <w:tr w:rsidR="00140B00" w:rsidRPr="005D0B83" w14:paraId="7F419967" w14:textId="77777777" w:rsidTr="00E01270">
        <w:trPr>
          <w:jc w:val="center"/>
        </w:trPr>
        <w:tc>
          <w:tcPr>
            <w:tcW w:w="7140" w:type="dxa"/>
            <w:gridSpan w:val="7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DB196" w14:textId="3A569775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Veb-saytda axborot joyla</w:t>
            </w:r>
            <w:r w:rsidR="00E01270">
              <w:rPr>
                <w:lang w:val="uz-Latn-UZ"/>
              </w:rPr>
              <w:t>sht</w:t>
            </w:r>
            <w:r w:rsidRPr="005D0B83">
              <w:rPr>
                <w:lang w:val="uz-Latn-UZ"/>
              </w:rPr>
              <w:t xml:space="preserve">irgan vakolatli </w:t>
            </w:r>
            <w:r w:rsidR="00E01270">
              <w:rPr>
                <w:lang w:val="uz-Latn-UZ"/>
              </w:rPr>
              <w:t>sha</w:t>
            </w:r>
            <w:r w:rsidRPr="005D0B83">
              <w:rPr>
                <w:lang w:val="uz-Latn-UZ"/>
              </w:rPr>
              <w:t>xsning F.I.SH.:</w:t>
            </w:r>
          </w:p>
        </w:tc>
        <w:tc>
          <w:tcPr>
            <w:tcW w:w="3364" w:type="dxa"/>
            <w:gridSpan w:val="7"/>
            <w:shd w:val="clear" w:color="auto" w:fill="FFFFFF"/>
            <w:vAlign w:val="bottom"/>
          </w:tcPr>
          <w:p w14:paraId="1D52743A" w14:textId="5B73873C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Utamurotov Odil To</w:t>
            </w:r>
            <w:r w:rsidR="00E01270">
              <w:rPr>
                <w:lang w:val="uz-Latn-UZ"/>
              </w:rPr>
              <w:t>shp</w:t>
            </w:r>
            <w:r w:rsidRPr="005D0B83">
              <w:rPr>
                <w:lang w:val="uz-Latn-UZ"/>
              </w:rPr>
              <w:t>ulotovich</w:t>
            </w:r>
          </w:p>
        </w:tc>
      </w:tr>
    </w:tbl>
    <w:p w14:paraId="19F9F3FD" w14:textId="77777777" w:rsidR="00EC45D9" w:rsidRPr="005D0B83" w:rsidRDefault="00EC45D9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28660154" w14:textId="3E2E6D2E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 </w:t>
      </w:r>
      <w:r w:rsidR="00FC38EC" w:rsidRPr="005D0B83">
        <w:rPr>
          <w:rFonts w:eastAsia="Times New Roman"/>
          <w:sz w:val="20"/>
          <w:szCs w:val="20"/>
          <w:lang w:val="uz-Latn-UZ"/>
        </w:rPr>
        <w:t>Mavjud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‘rsatiladi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6C4DC483" w14:textId="7F96A100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** </w:t>
      </w:r>
      <w:r w:rsidR="00FC38EC" w:rsidRPr="005D0B83">
        <w:rPr>
          <w:rFonts w:eastAsia="Times New Roman"/>
          <w:sz w:val="20"/>
          <w:szCs w:val="20"/>
          <w:lang w:val="uz-Latn-UZ"/>
        </w:rPr>
        <w:t>Agar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umumiy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yig‘ili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tomonidan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imti</w:t>
      </w:r>
      <w:r w:rsidR="00E01270">
        <w:rPr>
          <w:rFonts w:eastAsia="Times New Roman"/>
          <w:sz w:val="20"/>
          <w:szCs w:val="20"/>
          <w:lang w:val="uz-Latn-UZ"/>
        </w:rPr>
        <w:t>yoz</w:t>
      </w:r>
      <w:r w:rsidR="00FC38EC" w:rsidRPr="005D0B83">
        <w:rPr>
          <w:rFonts w:eastAsia="Times New Roman"/>
          <w:sz w:val="20"/>
          <w:szCs w:val="20"/>
          <w:lang w:val="uz-Latn-UZ"/>
        </w:rPr>
        <w:t>li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egalari</w:t>
      </w:r>
      <w:r w:rsidRPr="005D0B83">
        <w:rPr>
          <w:rFonts w:eastAsia="Times New Roman"/>
          <w:sz w:val="20"/>
          <w:szCs w:val="20"/>
          <w:lang w:val="uz-Latn-UZ"/>
        </w:rPr>
        <w:t xml:space="preserve"> —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huquqlariga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</w:t>
      </w:r>
      <w:r w:rsidR="00E01270">
        <w:rPr>
          <w:rFonts w:eastAsia="Times New Roman"/>
          <w:sz w:val="20"/>
          <w:szCs w:val="20"/>
          <w:lang w:val="uz-Latn-UZ"/>
        </w:rPr>
        <w:t>shl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kapitalini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‘paytirish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bilan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bog‘liq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‘g‘risidagi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masalalarni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‘yi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vakolatlarni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kuzatuv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kenga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berish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e’lon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‘g‘risidagi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qoidalarni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ularga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bitta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tegi</w:t>
      </w:r>
      <w:r w:rsidR="00E01270">
        <w:rPr>
          <w:rFonts w:eastAsia="Times New Roman"/>
          <w:sz w:val="20"/>
          <w:szCs w:val="20"/>
          <w:lang w:val="uz-Latn-UZ"/>
        </w:rPr>
        <w:t>shl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soniga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hamda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nominal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qiymatining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summasiga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E01270">
        <w:rPr>
          <w:rFonts w:eastAsia="Times New Roman"/>
          <w:sz w:val="20"/>
          <w:szCs w:val="20"/>
          <w:lang w:val="uz-Latn-UZ"/>
        </w:rPr>
        <w:t>shu</w:t>
      </w:r>
      <w:r w:rsidR="00FC38EC" w:rsidRPr="005D0B83">
        <w:rPr>
          <w:rFonts w:eastAsia="Times New Roman"/>
          <w:sz w:val="20"/>
          <w:szCs w:val="20"/>
          <w:lang w:val="uz-Latn-UZ"/>
        </w:rPr>
        <w:t>ningdek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bitta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berilgan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maksimal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ovozlar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soniga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che</w:t>
      </w:r>
      <w:r w:rsidR="00FC38EC" w:rsidRPr="005D0B83">
        <w:rPr>
          <w:rFonts w:eastAsia="Times New Roman"/>
          <w:sz w:val="20"/>
          <w:szCs w:val="20"/>
          <w:lang w:val="uz-Latn-UZ"/>
        </w:rPr>
        <w:t>kla</w:t>
      </w:r>
      <w:r w:rsidR="00E01270">
        <w:rPr>
          <w:rFonts w:eastAsia="Times New Roman"/>
          <w:sz w:val="20"/>
          <w:szCs w:val="20"/>
          <w:lang w:val="uz-Latn-UZ"/>
        </w:rPr>
        <w:t>shn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belgilash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bilan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bog‘liq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qaror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qabul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‘lsa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kiritila</w:t>
      </w:r>
      <w:r w:rsidR="00E01270">
        <w:rPr>
          <w:rFonts w:eastAsia="Times New Roman"/>
          <w:sz w:val="20"/>
          <w:szCs w:val="20"/>
          <w:lang w:val="uz-Latn-UZ"/>
        </w:rPr>
        <w:t>yot</w:t>
      </w:r>
      <w:r w:rsidR="00FC38EC" w:rsidRPr="005D0B83">
        <w:rPr>
          <w:rFonts w:eastAsia="Times New Roman"/>
          <w:sz w:val="20"/>
          <w:szCs w:val="20"/>
          <w:lang w:val="uz-Latn-UZ"/>
        </w:rPr>
        <w:t>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matni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biriktiriladi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7E78BCFD" w14:textId="506CB6A8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***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ijroiya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organi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kuzatuv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kenga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taftish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komissi</w:t>
      </w:r>
      <w:r w:rsidR="00E01270">
        <w:rPr>
          <w:rFonts w:eastAsia="Times New Roman"/>
          <w:sz w:val="20"/>
          <w:szCs w:val="20"/>
          <w:lang w:val="uz-Latn-UZ"/>
        </w:rPr>
        <w:t>yas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a’zolari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foydasiga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kompensatsi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hisoblangan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hollarda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‘rsatiladi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608F2E00" w14:textId="77777777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78F72939" w14:textId="4DAF9B4A" w:rsidR="00F405D7" w:rsidRPr="005D0B83" w:rsidRDefault="00FC38EC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>Muhim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fakt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yuz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bergan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vaqt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Pr="005D0B83">
        <w:rPr>
          <w:rFonts w:eastAsia="Times New Roman"/>
          <w:sz w:val="20"/>
          <w:szCs w:val="20"/>
          <w:lang w:val="uz-Latn-UZ"/>
        </w:rPr>
        <w:t>‘lib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Pr="005D0B83">
        <w:rPr>
          <w:rFonts w:eastAsia="Times New Roman"/>
          <w:sz w:val="20"/>
          <w:szCs w:val="20"/>
          <w:lang w:val="uz-Latn-UZ"/>
        </w:rPr>
        <w:t>emitent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oliy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bo</w:t>
      </w:r>
      <w:r w:rsidR="00E01270">
        <w:rPr>
          <w:rFonts w:eastAsia="Times New Roman"/>
          <w:sz w:val="20"/>
          <w:szCs w:val="20"/>
          <w:lang w:val="uz-Latn-UZ"/>
        </w:rPr>
        <w:t>shq</w:t>
      </w:r>
      <w:r w:rsidRPr="005D0B83">
        <w:rPr>
          <w:rFonts w:eastAsia="Times New Roman"/>
          <w:sz w:val="20"/>
          <w:szCs w:val="20"/>
          <w:lang w:val="uz-Latn-UZ"/>
        </w:rPr>
        <w:t>aruv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organining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ba</w:t>
      </w:r>
      <w:r w:rsidR="00E01270">
        <w:rPr>
          <w:rFonts w:eastAsia="Times New Roman"/>
          <w:sz w:val="20"/>
          <w:szCs w:val="20"/>
          <w:lang w:val="uz-Latn-UZ"/>
        </w:rPr>
        <w:t>yon</w:t>
      </w:r>
      <w:r w:rsidRPr="005D0B83">
        <w:rPr>
          <w:rFonts w:eastAsia="Times New Roman"/>
          <w:sz w:val="20"/>
          <w:szCs w:val="20"/>
          <w:lang w:val="uz-Latn-UZ"/>
        </w:rPr>
        <w:t>nomasi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tuzilgan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sana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hisoblanadi</w:t>
      </w:r>
      <w:r w:rsidR="00F405D7" w:rsidRPr="005D0B83">
        <w:rPr>
          <w:rFonts w:eastAsia="Times New Roman"/>
          <w:sz w:val="20"/>
          <w:szCs w:val="20"/>
          <w:lang w:val="uz-Latn-UZ"/>
        </w:rPr>
        <w:t>.</w:t>
      </w:r>
    </w:p>
    <w:p w14:paraId="311A5E33" w14:textId="77777777" w:rsidR="00F405D7" w:rsidRPr="005D0B83" w:rsidRDefault="00F405D7">
      <w:pPr>
        <w:rPr>
          <w:lang w:val="uz-Latn-UZ"/>
        </w:rPr>
      </w:pPr>
    </w:p>
    <w:sectPr w:rsidR="00F405D7" w:rsidRPr="005D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7"/>
    <w:rsid w:val="00053E18"/>
    <w:rsid w:val="00140B00"/>
    <w:rsid w:val="00145189"/>
    <w:rsid w:val="00247EA0"/>
    <w:rsid w:val="003A60CE"/>
    <w:rsid w:val="003A74E2"/>
    <w:rsid w:val="003B7F41"/>
    <w:rsid w:val="003F2E9C"/>
    <w:rsid w:val="00453D39"/>
    <w:rsid w:val="00461B4F"/>
    <w:rsid w:val="00517A8D"/>
    <w:rsid w:val="005D0B83"/>
    <w:rsid w:val="0065165A"/>
    <w:rsid w:val="006F1CB5"/>
    <w:rsid w:val="00714A28"/>
    <w:rsid w:val="00727403"/>
    <w:rsid w:val="007F0672"/>
    <w:rsid w:val="00886BE8"/>
    <w:rsid w:val="00914AF7"/>
    <w:rsid w:val="00AB61CA"/>
    <w:rsid w:val="00B15994"/>
    <w:rsid w:val="00B563F3"/>
    <w:rsid w:val="00B8704B"/>
    <w:rsid w:val="00BC35FC"/>
    <w:rsid w:val="00C215F6"/>
    <w:rsid w:val="00C64E11"/>
    <w:rsid w:val="00CB068B"/>
    <w:rsid w:val="00D43B36"/>
    <w:rsid w:val="00DD22AD"/>
    <w:rsid w:val="00DF5559"/>
    <w:rsid w:val="00E01270"/>
    <w:rsid w:val="00E656DC"/>
    <w:rsid w:val="00E97730"/>
    <w:rsid w:val="00EC45D9"/>
    <w:rsid w:val="00EF2E3C"/>
    <w:rsid w:val="00F405D7"/>
    <w:rsid w:val="00F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C0C7"/>
  <w15:chartTrackingRefBased/>
  <w15:docId w15:val="{29F20AB8-10CF-4EF4-9D1B-494736C4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D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5D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870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70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704B"/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70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704B"/>
    <w:rPr>
      <w:rFonts w:ascii="Times New Roman" w:eastAsiaTheme="minorEastAsia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C6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37)" TargetMode="External"/><Relationship Id="rId5" Type="http://schemas.openxmlformats.org/officeDocument/2006/relationships/hyperlink" Target="javascript:scrollText(3080137)" TargetMode="External"/><Relationship Id="rId4" Type="http://schemas.openxmlformats.org/officeDocument/2006/relationships/hyperlink" Target="javascript:scrollText(308013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18</cp:revision>
  <dcterms:created xsi:type="dcterms:W3CDTF">2024-03-19T08:26:00Z</dcterms:created>
  <dcterms:modified xsi:type="dcterms:W3CDTF">2026-04-28T11:37:00Z</dcterms:modified>
</cp:coreProperties>
</file>